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E0" w:rsidRPr="00C614F9" w:rsidRDefault="00841DE0" w:rsidP="00841DE0">
      <w:pPr>
        <w:jc w:val="center"/>
        <w:rPr>
          <w:rFonts w:ascii="Arial" w:hAnsi="Arial" w:cs="Arial"/>
          <w:b/>
          <w:sz w:val="24"/>
          <w:szCs w:val="24"/>
        </w:rPr>
      </w:pPr>
      <w:r w:rsidRPr="00C614F9">
        <w:rPr>
          <w:rFonts w:ascii="Arial" w:hAnsi="Arial" w:cs="Arial"/>
          <w:b/>
          <w:sz w:val="24"/>
          <w:szCs w:val="24"/>
        </w:rPr>
        <w:t>THAMES VALLEY POLICE</w:t>
      </w:r>
    </w:p>
    <w:p w:rsidR="00841DE0" w:rsidRPr="00C614F9" w:rsidRDefault="00841DE0" w:rsidP="00841DE0">
      <w:pPr>
        <w:jc w:val="center"/>
        <w:rPr>
          <w:rFonts w:ascii="Arial" w:hAnsi="Arial" w:cs="Arial"/>
          <w:b/>
          <w:sz w:val="24"/>
          <w:szCs w:val="24"/>
        </w:rPr>
      </w:pPr>
      <w:r w:rsidRPr="00C614F9">
        <w:rPr>
          <w:rFonts w:ascii="Arial" w:hAnsi="Arial" w:cs="Arial"/>
          <w:b/>
          <w:sz w:val="24"/>
          <w:szCs w:val="24"/>
          <w:u w:val="single"/>
        </w:rPr>
        <w:tab/>
      </w:r>
      <w:r w:rsidRPr="00C614F9">
        <w:rPr>
          <w:rFonts w:ascii="Arial" w:hAnsi="Arial" w:cs="Arial"/>
          <w:b/>
          <w:sz w:val="24"/>
          <w:szCs w:val="24"/>
          <w:u w:val="single"/>
        </w:rPr>
        <w:tab/>
      </w:r>
      <w:r w:rsidRPr="00C614F9">
        <w:rPr>
          <w:rFonts w:ascii="Arial" w:hAnsi="Arial" w:cs="Arial"/>
          <w:b/>
          <w:sz w:val="24"/>
          <w:szCs w:val="24"/>
          <w:u w:val="single"/>
        </w:rPr>
        <w:tab/>
      </w:r>
      <w:r w:rsidRPr="00C614F9">
        <w:rPr>
          <w:rFonts w:ascii="Arial" w:hAnsi="Arial" w:cs="Arial"/>
          <w:b/>
          <w:sz w:val="24"/>
          <w:szCs w:val="24"/>
          <w:u w:val="single"/>
        </w:rPr>
        <w:tab/>
      </w:r>
      <w:r w:rsidRPr="00C614F9">
        <w:rPr>
          <w:rFonts w:ascii="Arial" w:hAnsi="Arial" w:cs="Arial"/>
          <w:b/>
          <w:sz w:val="24"/>
          <w:szCs w:val="24"/>
          <w:u w:val="single"/>
        </w:rPr>
        <w:tab/>
      </w:r>
      <w:r w:rsidRPr="00C614F9">
        <w:rPr>
          <w:rFonts w:ascii="Arial" w:hAnsi="Arial" w:cs="Arial"/>
          <w:b/>
          <w:sz w:val="24"/>
          <w:szCs w:val="24"/>
          <w:u w:val="single"/>
        </w:rPr>
        <w:tab/>
      </w:r>
      <w:r w:rsidRPr="00C614F9">
        <w:rPr>
          <w:rFonts w:ascii="Arial" w:hAnsi="Arial" w:cs="Arial"/>
          <w:b/>
          <w:sz w:val="24"/>
          <w:szCs w:val="24"/>
          <w:u w:val="single"/>
        </w:rPr>
        <w:tab/>
      </w:r>
      <w:r w:rsidRPr="00C614F9">
        <w:rPr>
          <w:rFonts w:ascii="Arial" w:hAnsi="Arial" w:cs="Arial"/>
          <w:b/>
          <w:sz w:val="24"/>
          <w:szCs w:val="24"/>
          <w:u w:val="single"/>
        </w:rPr>
        <w:tab/>
      </w:r>
    </w:p>
    <w:p w:rsidR="00841DE0" w:rsidRPr="00C614F9" w:rsidRDefault="00841DE0" w:rsidP="00841DE0">
      <w:pPr>
        <w:jc w:val="center"/>
        <w:rPr>
          <w:rFonts w:ascii="Arial" w:hAnsi="Arial" w:cs="Arial"/>
          <w:b/>
          <w:sz w:val="24"/>
          <w:szCs w:val="24"/>
        </w:rPr>
      </w:pPr>
    </w:p>
    <w:p w:rsidR="00841DE0" w:rsidRPr="00C614F9" w:rsidRDefault="00841DE0" w:rsidP="00841DE0">
      <w:pPr>
        <w:jc w:val="center"/>
        <w:rPr>
          <w:rFonts w:ascii="Arial" w:hAnsi="Arial" w:cs="Arial"/>
          <w:b/>
          <w:sz w:val="24"/>
          <w:szCs w:val="24"/>
        </w:rPr>
      </w:pPr>
      <w:r w:rsidRPr="00C614F9">
        <w:rPr>
          <w:rFonts w:ascii="Arial" w:hAnsi="Arial" w:cs="Arial"/>
          <w:b/>
          <w:sz w:val="24"/>
          <w:szCs w:val="24"/>
        </w:rPr>
        <w:t xml:space="preserve">POLICE SERGEANT </w:t>
      </w:r>
    </w:p>
    <w:p w:rsidR="00841DE0" w:rsidRPr="00C614F9" w:rsidRDefault="00841DE0" w:rsidP="00841DE0">
      <w:pPr>
        <w:jc w:val="center"/>
        <w:rPr>
          <w:rFonts w:ascii="Arial" w:hAnsi="Arial" w:cs="Arial"/>
          <w:b/>
          <w:sz w:val="24"/>
          <w:szCs w:val="24"/>
        </w:rPr>
      </w:pPr>
      <w:r w:rsidRPr="00C614F9">
        <w:rPr>
          <w:rFonts w:ascii="Arial" w:hAnsi="Arial" w:cs="Arial"/>
          <w:b/>
          <w:sz w:val="24"/>
          <w:szCs w:val="24"/>
        </w:rPr>
        <w:t>(Prevent Supervisor)</w:t>
      </w:r>
    </w:p>
    <w:p w:rsidR="00841DE0" w:rsidRPr="00C614F9" w:rsidRDefault="00841DE0" w:rsidP="00C614F9">
      <w:pPr>
        <w:jc w:val="center"/>
        <w:rPr>
          <w:rFonts w:ascii="Arial" w:hAnsi="Arial" w:cs="Arial"/>
          <w:b/>
          <w:sz w:val="24"/>
          <w:szCs w:val="24"/>
        </w:rPr>
      </w:pPr>
      <w:r w:rsidRPr="00C614F9">
        <w:rPr>
          <w:rFonts w:ascii="Arial" w:hAnsi="Arial" w:cs="Arial"/>
          <w:b/>
          <w:sz w:val="24"/>
          <w:szCs w:val="24"/>
        </w:rPr>
        <w:t>ROLE SPECIFICATION</w:t>
      </w:r>
    </w:p>
    <w:p w:rsidR="00841DE0" w:rsidRPr="00C614F9" w:rsidRDefault="00841DE0" w:rsidP="00841DE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2883"/>
        <w:gridCol w:w="1719"/>
        <w:gridCol w:w="2784"/>
      </w:tblGrid>
      <w:tr w:rsidR="00841DE0" w:rsidRPr="00C614F9" w:rsidTr="00DE5BF9">
        <w:trPr>
          <w:trHeight w:val="509"/>
        </w:trPr>
        <w:tc>
          <w:tcPr>
            <w:tcW w:w="1668" w:type="dxa"/>
            <w:vAlign w:val="center"/>
          </w:tcPr>
          <w:p w:rsidR="00841DE0" w:rsidRPr="00C614F9" w:rsidRDefault="00841DE0" w:rsidP="00DE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4F9">
              <w:rPr>
                <w:rFonts w:ascii="Arial" w:hAnsi="Arial" w:cs="Arial"/>
                <w:b/>
                <w:sz w:val="24"/>
                <w:szCs w:val="24"/>
              </w:rPr>
              <w:t>Role Title:</w:t>
            </w:r>
          </w:p>
        </w:tc>
        <w:tc>
          <w:tcPr>
            <w:tcW w:w="2952" w:type="dxa"/>
            <w:vAlign w:val="center"/>
          </w:tcPr>
          <w:p w:rsidR="00841DE0" w:rsidRPr="00C614F9" w:rsidRDefault="00841DE0" w:rsidP="00FF5B92">
            <w:pPr>
              <w:tabs>
                <w:tab w:val="left" w:pos="2835"/>
                <w:tab w:val="left" w:pos="34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4F9">
              <w:rPr>
                <w:rFonts w:ascii="Arial" w:hAnsi="Arial" w:cs="Arial"/>
                <w:sz w:val="24"/>
                <w:szCs w:val="24"/>
              </w:rPr>
              <w:t>Police</w:t>
            </w:r>
            <w:r w:rsidR="00EB339F">
              <w:rPr>
                <w:rFonts w:ascii="Arial" w:hAnsi="Arial" w:cs="Arial"/>
                <w:sz w:val="24"/>
                <w:szCs w:val="24"/>
              </w:rPr>
              <w:t>/Detective</w:t>
            </w:r>
            <w:r w:rsidRPr="00C614F9">
              <w:rPr>
                <w:rFonts w:ascii="Arial" w:hAnsi="Arial" w:cs="Arial"/>
                <w:sz w:val="24"/>
                <w:szCs w:val="24"/>
              </w:rPr>
              <w:t xml:space="preserve"> Sergeant –</w:t>
            </w:r>
          </w:p>
          <w:p w:rsidR="00841DE0" w:rsidRPr="00C614F9" w:rsidRDefault="00841DE0" w:rsidP="00523660">
            <w:pPr>
              <w:tabs>
                <w:tab w:val="left" w:pos="2835"/>
                <w:tab w:val="left" w:pos="34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4F9">
              <w:rPr>
                <w:rFonts w:ascii="Arial" w:hAnsi="Arial" w:cs="Arial"/>
                <w:sz w:val="24"/>
                <w:szCs w:val="24"/>
              </w:rPr>
              <w:t>Regional P</w:t>
            </w:r>
            <w:r w:rsidR="00523660">
              <w:rPr>
                <w:rFonts w:ascii="Arial" w:hAnsi="Arial" w:cs="Arial"/>
                <w:sz w:val="24"/>
                <w:szCs w:val="24"/>
              </w:rPr>
              <w:t xml:space="preserve">revent </w:t>
            </w:r>
            <w:r w:rsidRPr="00C614F9">
              <w:rPr>
                <w:rFonts w:ascii="Arial" w:hAnsi="Arial" w:cs="Arial"/>
                <w:sz w:val="24"/>
                <w:szCs w:val="24"/>
              </w:rPr>
              <w:t>Supervisor</w:t>
            </w:r>
          </w:p>
        </w:tc>
        <w:tc>
          <w:tcPr>
            <w:tcW w:w="1725" w:type="dxa"/>
            <w:vAlign w:val="center"/>
          </w:tcPr>
          <w:p w:rsidR="00841DE0" w:rsidRPr="00C614F9" w:rsidRDefault="00841DE0" w:rsidP="00DE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4F9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2897" w:type="dxa"/>
            <w:vAlign w:val="center"/>
          </w:tcPr>
          <w:p w:rsidR="00841DE0" w:rsidRPr="00C614F9" w:rsidRDefault="00523660" w:rsidP="00FF5B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Prevent </w:t>
            </w:r>
          </w:p>
        </w:tc>
      </w:tr>
      <w:tr w:rsidR="00841DE0" w:rsidRPr="00C614F9" w:rsidTr="00FF5B92">
        <w:trPr>
          <w:trHeight w:val="911"/>
        </w:trPr>
        <w:tc>
          <w:tcPr>
            <w:tcW w:w="1668" w:type="dxa"/>
            <w:vAlign w:val="center"/>
          </w:tcPr>
          <w:p w:rsidR="00841DE0" w:rsidRPr="00C614F9" w:rsidRDefault="00841DE0" w:rsidP="00DE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4F9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2952" w:type="dxa"/>
            <w:vAlign w:val="center"/>
          </w:tcPr>
          <w:p w:rsidR="00841DE0" w:rsidRPr="00C614F9" w:rsidRDefault="00841DE0" w:rsidP="00523660">
            <w:pPr>
              <w:tabs>
                <w:tab w:val="left" w:pos="2835"/>
                <w:tab w:val="left" w:pos="34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4F9">
              <w:rPr>
                <w:rFonts w:ascii="Arial" w:hAnsi="Arial" w:cs="Arial"/>
                <w:sz w:val="24"/>
                <w:szCs w:val="24"/>
              </w:rPr>
              <w:t xml:space="preserve">Detective Inspector </w:t>
            </w:r>
            <w:r w:rsidR="00523660">
              <w:rPr>
                <w:rFonts w:ascii="Arial" w:hAnsi="Arial" w:cs="Arial"/>
                <w:sz w:val="24"/>
                <w:szCs w:val="24"/>
              </w:rPr>
              <w:t>–</w:t>
            </w:r>
            <w:r w:rsidRPr="00C61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660">
              <w:rPr>
                <w:rFonts w:ascii="Arial" w:hAnsi="Arial" w:cs="Arial"/>
                <w:sz w:val="24"/>
                <w:szCs w:val="24"/>
              </w:rPr>
              <w:t xml:space="preserve">Prevent </w:t>
            </w:r>
          </w:p>
        </w:tc>
        <w:tc>
          <w:tcPr>
            <w:tcW w:w="1725" w:type="dxa"/>
            <w:vAlign w:val="center"/>
          </w:tcPr>
          <w:p w:rsidR="00841DE0" w:rsidRPr="00C614F9" w:rsidRDefault="00841DE0" w:rsidP="00DE5B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4F9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897" w:type="dxa"/>
            <w:vAlign w:val="center"/>
          </w:tcPr>
          <w:p w:rsidR="00841DE0" w:rsidRDefault="006139AF" w:rsidP="00FF5B92">
            <w:pPr>
              <w:tabs>
                <w:tab w:val="left" w:pos="2835"/>
                <w:tab w:val="left" w:pos="3402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Counter Terrorism Policing South East</w:t>
            </w:r>
            <w:r w:rsidR="00FF5B92">
              <w:rPr>
                <w:rFonts w:ascii="Arial" w:hAnsi="Arial" w:cs="Arial"/>
                <w:bCs/>
                <w:sz w:val="24"/>
                <w:szCs w:val="24"/>
              </w:rPr>
              <w:t xml:space="preserve"> (CTP SE)  </w:t>
            </w:r>
          </w:p>
          <w:p w:rsidR="006139AF" w:rsidRPr="00C614F9" w:rsidRDefault="006139AF" w:rsidP="00FF5B92">
            <w:pPr>
              <w:tabs>
                <w:tab w:val="left" w:pos="2835"/>
                <w:tab w:val="left" w:pos="34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DE0" w:rsidRPr="00C614F9" w:rsidRDefault="00841DE0" w:rsidP="00FF5B9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6879"/>
      </w:tblGrid>
      <w:tr w:rsidR="00841DE0" w:rsidRPr="00C614F9" w:rsidTr="00DE5BF9">
        <w:trPr>
          <w:trHeight w:val="659"/>
        </w:trPr>
        <w:tc>
          <w:tcPr>
            <w:tcW w:w="2137" w:type="dxa"/>
          </w:tcPr>
          <w:p w:rsidR="00841DE0" w:rsidRPr="00C614F9" w:rsidRDefault="00841DE0" w:rsidP="00FF5B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14F9">
              <w:rPr>
                <w:rFonts w:ascii="Arial" w:hAnsi="Arial" w:cs="Arial"/>
                <w:b/>
                <w:sz w:val="24"/>
                <w:szCs w:val="24"/>
              </w:rPr>
              <w:t>Purpose of role:</w:t>
            </w:r>
          </w:p>
        </w:tc>
        <w:tc>
          <w:tcPr>
            <w:tcW w:w="7105" w:type="dxa"/>
          </w:tcPr>
          <w:p w:rsidR="00841DE0" w:rsidRPr="00521604" w:rsidRDefault="00C760F5" w:rsidP="00FF5B92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r w:rsidRPr="005B4F3D">
              <w:rPr>
                <w:rFonts w:ascii="Arial" w:eastAsia="Calibri" w:hAnsi="Arial" w:cs="Arial"/>
                <w:sz w:val="24"/>
                <w:szCs w:val="24"/>
                <w:lang w:bidi="ar-SA"/>
              </w:rPr>
              <w:t>T</w:t>
            </w: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>o deliver t</w:t>
            </w:r>
            <w:r w:rsidRPr="005B4F3D">
              <w:rPr>
                <w:rFonts w:ascii="Arial" w:eastAsia="Calibri" w:hAnsi="Arial" w:cs="Arial"/>
                <w:sz w:val="24"/>
                <w:szCs w:val="24"/>
                <w:lang w:bidi="ar-SA"/>
              </w:rPr>
              <w:t>he</w:t>
            </w: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policing mission within the national Counter Terrorism Strategy (CONTEST) and discharge its Prevent duty requirements (as set within the Counter Terrorism &amp; Security Act 2015); namely</w:t>
            </w:r>
            <w:r w:rsidRPr="005B4F3D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>“</w:t>
            </w:r>
            <w:r w:rsidRPr="005B4F3D">
              <w:rPr>
                <w:rFonts w:ascii="Arial" w:eastAsia="Calibri" w:hAnsi="Arial" w:cs="Arial"/>
                <w:sz w:val="24"/>
                <w:szCs w:val="24"/>
                <w:lang w:bidi="ar-SA"/>
              </w:rPr>
              <w:t>to prevent the vulnerable from being drawn into terrorism and to prevent extremists from escalating into terrorism &amp; radicalising others”</w:t>
            </w:r>
          </w:p>
        </w:tc>
      </w:tr>
      <w:tr w:rsidR="00841DE0" w:rsidRPr="00C614F9" w:rsidTr="00DE5BF9">
        <w:trPr>
          <w:trHeight w:val="682"/>
        </w:trPr>
        <w:tc>
          <w:tcPr>
            <w:tcW w:w="2137" w:type="dxa"/>
          </w:tcPr>
          <w:p w:rsidR="00841DE0" w:rsidRPr="00C614F9" w:rsidRDefault="00841DE0" w:rsidP="00FF5B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14F9">
              <w:rPr>
                <w:rFonts w:ascii="Arial" w:hAnsi="Arial" w:cs="Arial"/>
                <w:b/>
                <w:sz w:val="24"/>
                <w:szCs w:val="24"/>
              </w:rPr>
              <w:t>Principle Responsibilities:</w:t>
            </w:r>
          </w:p>
        </w:tc>
        <w:tc>
          <w:tcPr>
            <w:tcW w:w="7105" w:type="dxa"/>
          </w:tcPr>
          <w:p w:rsidR="00C760F5" w:rsidRPr="002C1E11" w:rsidRDefault="00C760F5" w:rsidP="00FF5B92">
            <w:pPr>
              <w:numPr>
                <w:ilvl w:val="0"/>
                <w:numId w:val="6"/>
              </w:num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>Workings with internal and external partners develop and deliver local Prevent action plans.</w:t>
            </w:r>
          </w:p>
          <w:p w:rsidR="00C760F5" w:rsidRPr="006945FE" w:rsidRDefault="00C760F5" w:rsidP="00FF5B92">
            <w:pPr>
              <w:numPr>
                <w:ilvl w:val="0"/>
                <w:numId w:val="6"/>
              </w:num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To </w:t>
            </w: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case manage, task, </w:t>
            </w: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>co-ordinate</w:t>
            </w: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and have performance oversight on</w:t>
            </w: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the delivery of Prevent </w:t>
            </w: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>Case Management (PCM) through CTPSE Prevent resources as required.</w:t>
            </w:r>
          </w:p>
          <w:p w:rsidR="00C760F5" w:rsidRPr="00DD54DF" w:rsidRDefault="00C760F5" w:rsidP="00FF5B92">
            <w:pPr>
              <w:numPr>
                <w:ilvl w:val="0"/>
                <w:numId w:val="6"/>
              </w:num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To </w:t>
            </w: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be the force point of contact </w:t>
            </w: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>for Prevent Case Management (PCM) enquiries, conducting vulnerability assessments; de-brief interviews and delivery of PCM tac</w:t>
            </w: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>tics through you and your team</w:t>
            </w: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>.</w:t>
            </w:r>
          </w:p>
          <w:p w:rsidR="00C760F5" w:rsidRPr="002C1E11" w:rsidRDefault="00C760F5" w:rsidP="00FF5B92">
            <w:pPr>
              <w:numPr>
                <w:ilvl w:val="0"/>
                <w:numId w:val="6"/>
              </w:num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Work </w:t>
            </w: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>across the wider policing family, facilitating engagement with neighbourhood policing teams (NPTs), partner organisations, communities and groups to help drive the action plan.</w:t>
            </w:r>
          </w:p>
          <w:p w:rsidR="00C760F5" w:rsidRPr="002C1E11" w:rsidRDefault="00C760F5" w:rsidP="00FF5B92">
            <w:pPr>
              <w:numPr>
                <w:ilvl w:val="0"/>
                <w:numId w:val="6"/>
              </w:num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Work collaboratively with Prevent partners </w:t>
            </w: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>discharging the policing responsibility of the Counter Terrorism &amp; Securities Act 2015.</w:t>
            </w:r>
          </w:p>
          <w:p w:rsidR="00C760F5" w:rsidRDefault="00C760F5" w:rsidP="00FF5B92">
            <w:pPr>
              <w:numPr>
                <w:ilvl w:val="0"/>
                <w:numId w:val="6"/>
              </w:num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Safeguard by </w:t>
            </w: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>signpost</w:t>
            </w: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>ing</w:t>
            </w: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individuals vulnerable to radicalisation into appropriate support mechanisms, such as Channel.</w:t>
            </w:r>
          </w:p>
          <w:p w:rsidR="00C760F5" w:rsidRPr="006945FE" w:rsidRDefault="00C760F5" w:rsidP="00FF5B9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0C41A5">
              <w:rPr>
                <w:rFonts w:ascii="Arial" w:hAnsi="Arial"/>
                <w:sz w:val="24"/>
                <w:szCs w:val="24"/>
              </w:rPr>
              <w:t xml:space="preserve">High interpersonal skills and ability to interact at senior management level and influence change. </w:t>
            </w:r>
          </w:p>
          <w:p w:rsidR="00C760F5" w:rsidRDefault="00C760F5" w:rsidP="00FF5B92">
            <w:pPr>
              <w:numPr>
                <w:ilvl w:val="0"/>
                <w:numId w:val="6"/>
              </w:num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  <w:lang w:bidi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Manage and deliver </w:t>
            </w: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>activity ac</w:t>
            </w: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>ross all four pillars of CONTEST</w:t>
            </w: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providing tactical advice to CT SIO’s on</w:t>
            </w:r>
            <w:r>
              <w:rPr>
                <w:rFonts w:ascii="Arial" w:eastAsia="Calibri" w:hAnsi="Arial" w:cs="Arial"/>
                <w:sz w:val="24"/>
                <w:szCs w:val="24"/>
                <w:lang w:bidi="ar-SA"/>
              </w:rPr>
              <w:t xml:space="preserve"> </w:t>
            </w:r>
            <w:r w:rsidRPr="002C1E11">
              <w:rPr>
                <w:rFonts w:ascii="Arial" w:eastAsia="Calibri" w:hAnsi="Arial" w:cs="Arial"/>
                <w:sz w:val="24"/>
                <w:szCs w:val="24"/>
                <w:lang w:bidi="ar-SA"/>
              </w:rPr>
              <w:t>Prevent options and capability, maintaining daily links with local policing to ensure that all Prevent activity is complimenting other CT activity.</w:t>
            </w:r>
          </w:p>
          <w:p w:rsidR="00C760F5" w:rsidRPr="0032665B" w:rsidRDefault="00C760F5" w:rsidP="00FF5B92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To have experience of working with diverse communities and in particular a good understanding of issues facing communities</w:t>
            </w:r>
            <w:r w:rsidR="00D351F6">
              <w:rPr>
                <w:rFonts w:ascii="Arial" w:hAnsi="Arial"/>
                <w:sz w:val="24"/>
                <w:szCs w:val="24"/>
              </w:rPr>
              <w:t xml:space="preserve"> vulnerable to radicalisation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:rsidR="00841DE0" w:rsidRPr="00FF5B92" w:rsidRDefault="00C760F5" w:rsidP="00FF5B92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role performed is a National role based regionally, as such this role and the role of the unit is evolving; therefore responsibilities can change and the successful post holder will be expected to be flexible and adaptable to changing roles and responsibilities within their generic supervisory position.</w:t>
            </w:r>
          </w:p>
        </w:tc>
      </w:tr>
      <w:tr w:rsidR="00E77BAA" w:rsidRPr="00281ABE" w:rsidTr="00E77BAA">
        <w:trPr>
          <w:trHeight w:val="68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AA" w:rsidRPr="00E77BAA" w:rsidRDefault="00E77BAA" w:rsidP="00FF5B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BAA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role based training: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AA" w:rsidRPr="00E77BAA" w:rsidRDefault="00E77BAA" w:rsidP="00FF5B92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7BAA">
              <w:rPr>
                <w:rFonts w:ascii="Arial" w:hAnsi="Arial" w:cs="Arial"/>
                <w:sz w:val="24"/>
                <w:szCs w:val="24"/>
              </w:rPr>
              <w:t>Must achieve SC (Security Check) vetting in line with force policy.</w:t>
            </w:r>
          </w:p>
        </w:tc>
      </w:tr>
      <w:tr w:rsidR="00E77BAA" w:rsidRPr="009E527B" w:rsidTr="00E77BAA">
        <w:trPr>
          <w:trHeight w:val="68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BAA" w:rsidRPr="00E77BAA" w:rsidRDefault="00FF5B92" w:rsidP="00FF5B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Essential Criteria: 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60" w:rsidRPr="00523660" w:rsidRDefault="00523660" w:rsidP="005236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660">
              <w:rPr>
                <w:rFonts w:ascii="Arial" w:hAnsi="Arial" w:cs="Arial"/>
                <w:sz w:val="24"/>
                <w:szCs w:val="24"/>
              </w:rPr>
              <w:t>E</w:t>
            </w:r>
            <w:r w:rsidRPr="00523660">
              <w:rPr>
                <w:rFonts w:ascii="Arial" w:hAnsi="Arial" w:cs="Arial"/>
                <w:sz w:val="24"/>
                <w:szCs w:val="24"/>
              </w:rPr>
              <w:t>xperience of working with internal and external partners to deliver effective operational delivery to identify, safeguard and risk manage vulnerable individuals;</w:t>
            </w:r>
          </w:p>
          <w:p w:rsidR="00523660" w:rsidRPr="00523660" w:rsidRDefault="00523660" w:rsidP="005236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660">
              <w:rPr>
                <w:rFonts w:ascii="Arial" w:hAnsi="Arial" w:cs="Arial"/>
                <w:sz w:val="24"/>
                <w:szCs w:val="24"/>
              </w:rPr>
              <w:t>Knowledge and experience in leading safeguarding, early intervention and problem solving policing operations;</w:t>
            </w:r>
          </w:p>
          <w:p w:rsidR="00523660" w:rsidRPr="00523660" w:rsidRDefault="00523660" w:rsidP="005236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660">
              <w:rPr>
                <w:rFonts w:ascii="Arial" w:hAnsi="Arial" w:cs="Arial"/>
                <w:sz w:val="24"/>
                <w:szCs w:val="24"/>
              </w:rPr>
              <w:t>Experience of intelligence management and knowledge of the National Intelligence Model;</w:t>
            </w:r>
          </w:p>
          <w:p w:rsidR="00523660" w:rsidRPr="00523660" w:rsidRDefault="00523660" w:rsidP="005236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660">
              <w:rPr>
                <w:rFonts w:ascii="Arial" w:hAnsi="Arial" w:cs="Arial"/>
                <w:sz w:val="24"/>
                <w:szCs w:val="24"/>
              </w:rPr>
              <w:t>Effective case management skills and supervision, early identification of escalated risk and crime investigation opportunities.</w:t>
            </w:r>
          </w:p>
          <w:p w:rsidR="00523660" w:rsidRPr="00523660" w:rsidRDefault="00523660" w:rsidP="005236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660">
              <w:rPr>
                <w:rFonts w:ascii="Arial" w:hAnsi="Arial" w:cs="Arial"/>
                <w:sz w:val="24"/>
                <w:szCs w:val="24"/>
              </w:rPr>
              <w:t>Flexibility to work regionally, to provide resilience for both operational and strategic responsibility, contributing to weekend cover for the South East region;</w:t>
            </w:r>
          </w:p>
          <w:p w:rsidR="00E77BAA" w:rsidRPr="00523660" w:rsidRDefault="00523660" w:rsidP="005236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660">
              <w:rPr>
                <w:rFonts w:ascii="Arial" w:hAnsi="Arial" w:cs="Arial"/>
                <w:sz w:val="24"/>
                <w:szCs w:val="24"/>
              </w:rPr>
              <w:t>Ability to manage operational pe</w:t>
            </w:r>
            <w:r w:rsidRPr="00523660">
              <w:rPr>
                <w:rFonts w:ascii="Arial" w:hAnsi="Arial" w:cs="Arial"/>
                <w:sz w:val="24"/>
                <w:szCs w:val="24"/>
              </w:rPr>
              <w:t>rformance and demand management</w:t>
            </w:r>
          </w:p>
        </w:tc>
      </w:tr>
      <w:tr w:rsidR="008C5903" w:rsidRPr="009E527B" w:rsidTr="00E77BAA">
        <w:trPr>
          <w:trHeight w:val="68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03" w:rsidRDefault="008C5903" w:rsidP="00FF5B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Desirable Criteria: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03" w:rsidRPr="008C5903" w:rsidRDefault="00523660" w:rsidP="008C590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N/A </w:t>
            </w:r>
          </w:p>
        </w:tc>
      </w:tr>
      <w:tr w:rsidR="00FF5B92" w:rsidRPr="009E527B" w:rsidTr="00E77BAA">
        <w:trPr>
          <w:trHeight w:val="68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92" w:rsidRPr="00E77BAA" w:rsidRDefault="00FF5B92" w:rsidP="00FF5B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Information:  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92" w:rsidRPr="00AD7309" w:rsidRDefault="00FF5B92" w:rsidP="00FF5B9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7309">
              <w:rPr>
                <w:rFonts w:ascii="Arial" w:hAnsi="Arial" w:cs="Arial"/>
                <w:sz w:val="24"/>
                <w:szCs w:val="24"/>
              </w:rPr>
              <w:t>Requirement to be vetted to SC level</w:t>
            </w:r>
            <w:r>
              <w:rPr>
                <w:rFonts w:ascii="Arial" w:hAnsi="Arial" w:cs="Arial"/>
                <w:sz w:val="24"/>
                <w:szCs w:val="24"/>
              </w:rPr>
              <w:t xml:space="preserve"> (E</w:t>
            </w:r>
            <w:r w:rsidRPr="00AD7309">
              <w:rPr>
                <w:rFonts w:ascii="Arial" w:hAnsi="Arial" w:cs="Arial"/>
                <w:sz w:val="24"/>
                <w:szCs w:val="24"/>
              </w:rPr>
              <w:t>ssential)</w:t>
            </w:r>
          </w:p>
          <w:p w:rsidR="00FF5B92" w:rsidRPr="00FF5B92" w:rsidRDefault="00FF5B92" w:rsidP="00523660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DE0" w:rsidRPr="00C614F9" w:rsidRDefault="00841DE0" w:rsidP="00FF5B92">
      <w:pPr>
        <w:jc w:val="both"/>
        <w:rPr>
          <w:rFonts w:ascii="Arial" w:hAnsi="Arial" w:cs="Arial"/>
          <w:sz w:val="24"/>
          <w:szCs w:val="24"/>
        </w:rPr>
      </w:pPr>
    </w:p>
    <w:p w:rsidR="00841DE0" w:rsidRPr="00C614F9" w:rsidRDefault="00841DE0" w:rsidP="00FF5B92">
      <w:pPr>
        <w:jc w:val="both"/>
        <w:rPr>
          <w:rFonts w:ascii="Arial" w:hAnsi="Arial" w:cs="Arial"/>
          <w:sz w:val="24"/>
          <w:szCs w:val="24"/>
        </w:rPr>
      </w:pPr>
    </w:p>
    <w:p w:rsidR="00841DE0" w:rsidRDefault="00841DE0" w:rsidP="00FF5B92">
      <w:pPr>
        <w:jc w:val="both"/>
        <w:rPr>
          <w:rFonts w:ascii="Arial" w:hAnsi="Arial" w:cs="Arial"/>
          <w:sz w:val="24"/>
          <w:szCs w:val="24"/>
        </w:rPr>
      </w:pPr>
    </w:p>
    <w:p w:rsidR="00FC2DC9" w:rsidRDefault="00FC2DC9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p w:rsidR="00C905F7" w:rsidRDefault="00C905F7" w:rsidP="00C905F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326"/>
        <w:gridCol w:w="1276"/>
      </w:tblGrid>
      <w:tr w:rsidR="00C905F7" w:rsidTr="00A36FBC">
        <w:trPr>
          <w:trHeight w:val="513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hideMark/>
          </w:tcPr>
          <w:p w:rsidR="00C905F7" w:rsidRDefault="00C905F7" w:rsidP="00A36FBC">
            <w:pPr>
              <w:pStyle w:val="Title"/>
              <w:rPr>
                <w:rFonts w:ascii="Verdana" w:hAnsi="Verdana"/>
                <w:b/>
                <w:color w:val="FFFFFF"/>
                <w:sz w:val="36"/>
              </w:rPr>
            </w:pPr>
            <w:r>
              <w:rPr>
                <w:rFonts w:ascii="Verdana" w:hAnsi="Verdana"/>
                <w:b/>
                <w:color w:val="FFFFFF"/>
                <w:sz w:val="36"/>
              </w:rPr>
              <w:t>ROLE PROFILE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905F7" w:rsidRDefault="00C905F7" w:rsidP="00A36FBC">
            <w:pPr>
              <w:pStyle w:val="Title"/>
              <w:rPr>
                <w:rFonts w:ascii="Verdana" w:hAnsi="Verdana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>Sergeant</w:t>
            </w:r>
          </w:p>
          <w:p w:rsidR="00C905F7" w:rsidRDefault="00C905F7" w:rsidP="00A36FBC">
            <w:pPr>
              <w:pStyle w:val="Title"/>
              <w:rPr>
                <w:rFonts w:ascii="Verdana" w:hAnsi="Verdana"/>
                <w:b/>
                <w:color w:val="000000"/>
                <w:sz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F7" w:rsidRDefault="00C905F7" w:rsidP="00A36FBC">
            <w:pPr>
              <w:pStyle w:val="Title"/>
              <w:rPr>
                <w:rFonts w:ascii="Verdana" w:hAnsi="Verdana"/>
                <w:b/>
                <w:color w:val="0000FF"/>
                <w:sz w:val="24"/>
              </w:rPr>
            </w:pPr>
          </w:p>
          <w:p w:rsidR="00C905F7" w:rsidRDefault="00C905F7" w:rsidP="00A36FBC">
            <w:pPr>
              <w:pStyle w:val="Title"/>
              <w:rPr>
                <w:rFonts w:ascii="Verdana" w:hAnsi="Verdana"/>
                <w:color w:val="0000FF"/>
                <w:sz w:val="24"/>
              </w:rPr>
            </w:pPr>
          </w:p>
        </w:tc>
      </w:tr>
    </w:tbl>
    <w:p w:rsidR="00C905F7" w:rsidRDefault="00C905F7" w:rsidP="00C905F7">
      <w:pPr>
        <w:jc w:val="both"/>
        <w:rPr>
          <w:rFonts w:ascii="Verdana" w:hAnsi="Verdana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0"/>
      </w:tblGrid>
      <w:tr w:rsidR="00C905F7" w:rsidTr="00A36FBC">
        <w:trPr>
          <w:cantSplit/>
          <w:trHeight w:val="49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  <w:hideMark/>
          </w:tcPr>
          <w:p w:rsidR="00C905F7" w:rsidRDefault="00C905F7" w:rsidP="00A36FBC">
            <w:pPr>
              <w:pStyle w:val="Heading5"/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CORE RESPONSIBILITY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C905F7" w:rsidRDefault="00C905F7" w:rsidP="00A36FB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00FF"/>
              </w:rPr>
              <w:t>PERSONAL QUALITIES</w:t>
            </w:r>
          </w:p>
          <w:p w:rsidR="00C905F7" w:rsidRDefault="00C905F7" w:rsidP="00A36FBC">
            <w:pPr>
              <w:jc w:val="center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</w:rPr>
              <w:t xml:space="preserve">The role holder should effectively deliver these key requirements:  </w:t>
            </w:r>
          </w:p>
        </w:tc>
      </w:tr>
    </w:tbl>
    <w:p w:rsidR="00C905F7" w:rsidRDefault="00C905F7" w:rsidP="00C905F7">
      <w:pPr>
        <w:jc w:val="both"/>
        <w:rPr>
          <w:rFonts w:ascii="Verdana" w:hAnsi="Verdana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0"/>
      </w:tblGrid>
      <w:tr w:rsidR="00C905F7" w:rsidTr="00A36FBC">
        <w:trPr>
          <w:trHeight w:val="69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C905F7" w:rsidRDefault="00C905F7" w:rsidP="00A36FBC">
            <w:pPr>
              <w:jc w:val="center"/>
              <w:rPr>
                <w:rFonts w:ascii="Verdana" w:hAnsi="Verdana"/>
                <w:color w:val="FFFFFF"/>
              </w:rPr>
            </w:pPr>
          </w:p>
          <w:p w:rsidR="00C905F7" w:rsidRDefault="00C905F7" w:rsidP="00A36FBC">
            <w:pPr>
              <w:jc w:val="center"/>
              <w:rPr>
                <w:rFonts w:ascii="Verdana" w:hAnsi="Verdana"/>
                <w:color w:val="FFFFFF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905F7" w:rsidRDefault="00C905F7" w:rsidP="00A36FBC">
            <w:pPr>
              <w:rPr>
                <w:rFonts w:ascii="Verdana" w:hAnsi="Verdana"/>
              </w:rPr>
            </w:pPr>
          </w:p>
          <w:p w:rsidR="00C905F7" w:rsidRDefault="00C905F7" w:rsidP="00A36F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are emotionally aware – level 2</w:t>
            </w:r>
          </w:p>
          <w:p w:rsidR="00C905F7" w:rsidRDefault="00C905F7" w:rsidP="00A36F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take ownership – level 2</w:t>
            </w:r>
          </w:p>
          <w:p w:rsidR="00C905F7" w:rsidRDefault="00C905F7" w:rsidP="00A36FBC">
            <w:pPr>
              <w:rPr>
                <w:rFonts w:ascii="Verdana" w:hAnsi="Verdana"/>
              </w:rPr>
            </w:pPr>
          </w:p>
        </w:tc>
      </w:tr>
    </w:tbl>
    <w:p w:rsidR="00C905F7" w:rsidRDefault="00C905F7" w:rsidP="00C905F7">
      <w:pPr>
        <w:jc w:val="both"/>
        <w:rPr>
          <w:rFonts w:ascii="Verdana" w:hAnsi="Verdana"/>
          <w:sz w:val="22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0"/>
      </w:tblGrid>
      <w:tr w:rsidR="00C905F7" w:rsidTr="00A36FBC">
        <w:trPr>
          <w:trHeight w:val="105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C905F7" w:rsidRDefault="00C905F7" w:rsidP="00A36FBC">
            <w:pPr>
              <w:rPr>
                <w:rFonts w:ascii="Verdana" w:hAnsi="Verdana"/>
                <w:color w:val="FFFFFF"/>
              </w:rPr>
            </w:pPr>
          </w:p>
          <w:p w:rsidR="00C905F7" w:rsidRDefault="00C905F7" w:rsidP="00A36FBC">
            <w:pPr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905F7" w:rsidRDefault="00C905F7" w:rsidP="00A36FBC">
            <w:pPr>
              <w:rPr>
                <w:rFonts w:ascii="Verdana" w:hAnsi="Verdana"/>
              </w:rPr>
            </w:pPr>
          </w:p>
          <w:p w:rsidR="00C905F7" w:rsidRDefault="00C905F7" w:rsidP="00A36F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collaborate – level 2</w:t>
            </w:r>
          </w:p>
          <w:p w:rsidR="00C905F7" w:rsidRDefault="00C905F7" w:rsidP="00A36F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deliver, support and inspire – level 2</w:t>
            </w:r>
          </w:p>
        </w:tc>
      </w:tr>
    </w:tbl>
    <w:p w:rsidR="00C905F7" w:rsidRDefault="00C905F7" w:rsidP="00C905F7">
      <w:pPr>
        <w:pStyle w:val="Header"/>
        <w:tabs>
          <w:tab w:val="left" w:pos="720"/>
        </w:tabs>
        <w:rPr>
          <w:rFonts w:ascii="Verdana" w:hAnsi="Verdana"/>
          <w:sz w:val="22"/>
        </w:rPr>
      </w:pPr>
    </w:p>
    <w:tbl>
      <w:tblPr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0"/>
      </w:tblGrid>
      <w:tr w:rsidR="00C905F7" w:rsidTr="00A36FBC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C905F7" w:rsidRDefault="00C905F7" w:rsidP="00A36FBC">
            <w:pPr>
              <w:jc w:val="center"/>
              <w:rPr>
                <w:rFonts w:ascii="Verdana" w:hAnsi="Verdana"/>
                <w:color w:val="FFFFFF"/>
              </w:rPr>
            </w:pPr>
          </w:p>
          <w:p w:rsidR="00C905F7" w:rsidRDefault="00C905F7" w:rsidP="00A36FBC">
            <w:pPr>
              <w:rPr>
                <w:rFonts w:ascii="Verdana" w:hAnsi="Verdana"/>
                <w:color w:val="FFFFFF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905F7" w:rsidRDefault="00C905F7" w:rsidP="00A36FBC">
            <w:pPr>
              <w:pStyle w:val="BodyText2"/>
              <w:rPr>
                <w:rFonts w:ascii="Verdana" w:hAnsi="Verdana"/>
                <w:b w:val="0"/>
                <w:color w:val="FFFFFF"/>
                <w:sz w:val="20"/>
              </w:rPr>
            </w:pPr>
          </w:p>
          <w:p w:rsidR="00C905F7" w:rsidRDefault="00C905F7" w:rsidP="00A36FBC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We analyse critically – level 2</w:t>
            </w:r>
          </w:p>
          <w:p w:rsidR="00C905F7" w:rsidRDefault="00C905F7" w:rsidP="00A36FBC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We are innovative and open-minded – level 2</w:t>
            </w:r>
          </w:p>
          <w:p w:rsidR="00C905F7" w:rsidRDefault="00C905F7" w:rsidP="00A36FBC">
            <w:pPr>
              <w:pStyle w:val="BodyText2"/>
              <w:rPr>
                <w:rFonts w:ascii="Verdana" w:hAnsi="Verdana"/>
                <w:b w:val="0"/>
                <w:color w:val="FFFFFF"/>
                <w:sz w:val="20"/>
              </w:rPr>
            </w:pPr>
          </w:p>
        </w:tc>
      </w:tr>
    </w:tbl>
    <w:p w:rsidR="00C905F7" w:rsidRDefault="00C905F7" w:rsidP="00C905F7">
      <w:pPr>
        <w:rPr>
          <w:rFonts w:ascii="Verdana" w:hAnsi="Verdana"/>
        </w:rPr>
      </w:pPr>
    </w:p>
    <w:p w:rsidR="00C905F7" w:rsidRDefault="00C905F7" w:rsidP="00FF5B92">
      <w:pPr>
        <w:jc w:val="both"/>
        <w:rPr>
          <w:rFonts w:ascii="Arial" w:hAnsi="Arial" w:cs="Arial"/>
          <w:sz w:val="24"/>
          <w:szCs w:val="24"/>
        </w:rPr>
      </w:pPr>
    </w:p>
    <w:sectPr w:rsidR="00C905F7" w:rsidSect="00DE5B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65" w:rsidRDefault="00FD4065">
      <w:r>
        <w:separator/>
      </w:r>
    </w:p>
  </w:endnote>
  <w:endnote w:type="continuationSeparator" w:id="0">
    <w:p w:rsidR="00FD4065" w:rsidRDefault="00FD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B5" w:rsidRPr="00A44BB5" w:rsidRDefault="002109A5">
    <w:pPr>
      <w:pStyle w:val="Footer"/>
      <w:jc w:val="center"/>
      <w:rPr>
        <w:rFonts w:ascii="Arial" w:hAnsi="Arial" w:cs="Arial"/>
        <w:sz w:val="24"/>
        <w:szCs w:val="24"/>
      </w:rPr>
    </w:pPr>
    <w:r w:rsidRPr="00A44BB5">
      <w:rPr>
        <w:rFonts w:ascii="Arial" w:hAnsi="Arial" w:cs="Arial"/>
        <w:sz w:val="24"/>
        <w:szCs w:val="24"/>
      </w:rPr>
      <w:fldChar w:fldCharType="begin"/>
    </w:r>
    <w:r w:rsidR="00A44BB5" w:rsidRPr="00A44BB5">
      <w:rPr>
        <w:rFonts w:ascii="Arial" w:hAnsi="Arial" w:cs="Arial"/>
        <w:sz w:val="24"/>
        <w:szCs w:val="24"/>
      </w:rPr>
      <w:instrText xml:space="preserve"> PAGE   \* MERGEFORMAT </w:instrText>
    </w:r>
    <w:r w:rsidRPr="00A44BB5">
      <w:rPr>
        <w:rFonts w:ascii="Arial" w:hAnsi="Arial" w:cs="Arial"/>
        <w:sz w:val="24"/>
        <w:szCs w:val="24"/>
      </w:rPr>
      <w:fldChar w:fldCharType="separate"/>
    </w:r>
    <w:r w:rsidR="00523660">
      <w:rPr>
        <w:rFonts w:ascii="Arial" w:hAnsi="Arial" w:cs="Arial"/>
        <w:noProof/>
        <w:sz w:val="24"/>
        <w:szCs w:val="24"/>
      </w:rPr>
      <w:t>2</w:t>
    </w:r>
    <w:r w:rsidRPr="00A44BB5">
      <w:rPr>
        <w:rFonts w:ascii="Arial" w:hAnsi="Arial" w:cs="Arial"/>
        <w:sz w:val="24"/>
        <w:szCs w:val="24"/>
      </w:rPr>
      <w:fldChar w:fldCharType="end"/>
    </w:r>
  </w:p>
  <w:p w:rsidR="00A44BB5" w:rsidRDefault="00A44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65" w:rsidRDefault="00FD4065">
      <w:r>
        <w:separator/>
      </w:r>
    </w:p>
  </w:footnote>
  <w:footnote w:type="continuationSeparator" w:id="0">
    <w:p w:rsidR="00FD4065" w:rsidRDefault="00FD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F9" w:rsidRPr="000E3B17" w:rsidRDefault="00DE5BF9" w:rsidP="00DE5BF9">
    <w:pPr>
      <w:pStyle w:val="Header"/>
      <w:jc w:val="right"/>
      <w:rPr>
        <w:rFonts w:ascii="Arial" w:hAnsi="Arial" w:cs="Arial"/>
      </w:rPr>
    </w:pPr>
    <w:r w:rsidRPr="000E3B17">
      <w:rPr>
        <w:rFonts w:ascii="Arial" w:hAnsi="Arial" w:cs="Arial"/>
      </w:rPr>
      <w:t>Police Officer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78E"/>
    <w:multiLevelType w:val="hybridMultilevel"/>
    <w:tmpl w:val="361C32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50ED"/>
    <w:multiLevelType w:val="hybridMultilevel"/>
    <w:tmpl w:val="BD5E49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2E55"/>
    <w:multiLevelType w:val="hybridMultilevel"/>
    <w:tmpl w:val="80BC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80F"/>
    <w:multiLevelType w:val="hybridMultilevel"/>
    <w:tmpl w:val="87F41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401B"/>
    <w:multiLevelType w:val="hybridMultilevel"/>
    <w:tmpl w:val="ECD06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B117C6"/>
    <w:multiLevelType w:val="hybridMultilevel"/>
    <w:tmpl w:val="7328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D51AB"/>
    <w:multiLevelType w:val="hybridMultilevel"/>
    <w:tmpl w:val="089E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E0"/>
    <w:rsid w:val="00165CAF"/>
    <w:rsid w:val="001E4F4D"/>
    <w:rsid w:val="002109A5"/>
    <w:rsid w:val="002158DA"/>
    <w:rsid w:val="002E4AAC"/>
    <w:rsid w:val="00307232"/>
    <w:rsid w:val="00521604"/>
    <w:rsid w:val="00523660"/>
    <w:rsid w:val="005A5998"/>
    <w:rsid w:val="006139AF"/>
    <w:rsid w:val="00696DB1"/>
    <w:rsid w:val="00714E8D"/>
    <w:rsid w:val="00733A25"/>
    <w:rsid w:val="00770881"/>
    <w:rsid w:val="007A66F5"/>
    <w:rsid w:val="007B22B5"/>
    <w:rsid w:val="00814DC2"/>
    <w:rsid w:val="00841DE0"/>
    <w:rsid w:val="008A4F7E"/>
    <w:rsid w:val="008C5903"/>
    <w:rsid w:val="008F6B3B"/>
    <w:rsid w:val="00985BE5"/>
    <w:rsid w:val="00A1248E"/>
    <w:rsid w:val="00A35B71"/>
    <w:rsid w:val="00A44BB5"/>
    <w:rsid w:val="00A56A64"/>
    <w:rsid w:val="00BB201A"/>
    <w:rsid w:val="00C614F9"/>
    <w:rsid w:val="00C760F5"/>
    <w:rsid w:val="00C905F7"/>
    <w:rsid w:val="00CB7C9F"/>
    <w:rsid w:val="00D351F6"/>
    <w:rsid w:val="00DE5BF9"/>
    <w:rsid w:val="00E77BAA"/>
    <w:rsid w:val="00EB339F"/>
    <w:rsid w:val="00F25292"/>
    <w:rsid w:val="00FC2DC9"/>
    <w:rsid w:val="00FD4065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F181D-3C92-4F7D-BAF9-6D43C87C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D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 Unicode MS"/>
      <w:lang w:bidi="my-MM"/>
    </w:rPr>
  </w:style>
  <w:style w:type="paragraph" w:styleId="Heading5">
    <w:name w:val="heading 5"/>
    <w:basedOn w:val="Normal"/>
    <w:next w:val="Normal"/>
    <w:link w:val="Heading5Char"/>
    <w:qFormat/>
    <w:rsid w:val="00841DE0"/>
    <w:pPr>
      <w:keepNext/>
      <w:jc w:val="both"/>
      <w:outlineLvl w:val="4"/>
    </w:pPr>
    <w:rPr>
      <w:rFonts w:ascii="Arial" w:hAnsi="Arial" w:cs="Times New Roman"/>
      <w:b/>
      <w:color w:val="FFFFFF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41DE0"/>
    <w:rPr>
      <w:rFonts w:ascii="Arial" w:eastAsia="Times New Roman" w:hAnsi="Arial" w:cs="Times New Roman"/>
      <w:b/>
      <w:color w:val="FFFFFF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semiHidden/>
    <w:unhideWhenUsed/>
    <w:rsid w:val="00841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841DE0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paragraph" w:styleId="Title">
    <w:name w:val="Title"/>
    <w:basedOn w:val="Normal"/>
    <w:link w:val="TitleChar"/>
    <w:qFormat/>
    <w:rsid w:val="00841DE0"/>
    <w:pPr>
      <w:jc w:val="center"/>
    </w:pPr>
    <w:rPr>
      <w:rFonts w:ascii="Arial" w:hAnsi="Arial" w:cs="Times New Roman"/>
      <w:sz w:val="28"/>
      <w:lang w:val="en-US" w:bidi="ar-SA"/>
    </w:rPr>
  </w:style>
  <w:style w:type="character" w:customStyle="1" w:styleId="TitleChar">
    <w:name w:val="Title Char"/>
    <w:basedOn w:val="DefaultParagraphFont"/>
    <w:link w:val="Title"/>
    <w:rsid w:val="00841DE0"/>
    <w:rPr>
      <w:rFonts w:ascii="Arial" w:eastAsia="Times New Roman" w:hAnsi="Arial" w:cs="Times New Roman"/>
      <w:sz w:val="28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841DE0"/>
    <w:rPr>
      <w:rFonts w:cs="Times New Roman"/>
      <w:b/>
      <w:color w:val="0000FF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841DE0"/>
    <w:rPr>
      <w:rFonts w:ascii="Times New Roman" w:eastAsia="Times New Roman" w:hAnsi="Times New Roman" w:cs="Times New Roman"/>
      <w:b/>
      <w:color w:val="0000FF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41DE0"/>
    <w:pPr>
      <w:overflowPunct/>
      <w:autoSpaceDE/>
      <w:autoSpaceDN/>
      <w:adjustRightInd/>
      <w:ind w:left="720"/>
      <w:textAlignment w:val="auto"/>
    </w:pPr>
    <w:rPr>
      <w:rFonts w:cs="Times New Roman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44B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B5"/>
    <w:rPr>
      <w:rFonts w:ascii="Times New Roman" w:eastAsia="Times New Roman" w:hAnsi="Times New Roman" w:cs="Arial Unicode MS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46C28-8E02-4E98-B661-C6BBA9BB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5E32EE65</Template>
  <TotalTime>3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P3304</dc:creator>
  <cp:keywords/>
  <dc:description/>
  <cp:lastModifiedBy>Bahra Kiranjit</cp:lastModifiedBy>
  <cp:revision>3</cp:revision>
  <dcterms:created xsi:type="dcterms:W3CDTF">2020-03-09T09:11:00Z</dcterms:created>
  <dcterms:modified xsi:type="dcterms:W3CDTF">2020-03-09T09:14:00Z</dcterms:modified>
</cp:coreProperties>
</file>