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37" w:rsidRDefault="00770F0D" w:rsidP="00AB4D37">
      <w:pPr>
        <w:jc w:val="center"/>
      </w:pPr>
      <w:r>
        <w:rPr>
          <w:noProof/>
        </w:rPr>
        <w:drawing>
          <wp:inline distT="0" distB="0" distL="0" distR="0">
            <wp:extent cx="1975449" cy="1094803"/>
            <wp:effectExtent l="0" t="0" r="6350" b="0"/>
            <wp:docPr id="1" name="Picture 1" descr="https://serocu.police.uk/wp-content/uploads/2018/07/ROCU-m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ocu.police.uk/wp-content/uploads/2018/07/ROCU-mi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962" cy="11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37" w:rsidRDefault="00AB4D37" w:rsidP="00AB4D37">
      <w:pPr>
        <w:jc w:val="center"/>
      </w:pPr>
    </w:p>
    <w:p w:rsidR="00CF5D58" w:rsidRPr="007D16A9" w:rsidRDefault="00CF5D58" w:rsidP="00CF5D58">
      <w:pPr>
        <w:jc w:val="center"/>
        <w:rPr>
          <w:rFonts w:cs="Arial"/>
          <w:b/>
          <w:sz w:val="24"/>
          <w:szCs w:val="24"/>
        </w:rPr>
      </w:pPr>
      <w:r w:rsidRPr="007D16A9">
        <w:rPr>
          <w:rFonts w:cs="Arial"/>
          <w:b/>
          <w:sz w:val="24"/>
          <w:szCs w:val="24"/>
        </w:rPr>
        <w:t>CONSTABLE ROLE SPECIFICATION</w:t>
      </w:r>
    </w:p>
    <w:p w:rsidR="00CF5D58" w:rsidRPr="007D16A9" w:rsidRDefault="00CF5D58" w:rsidP="00CF5D58">
      <w:pPr>
        <w:jc w:val="center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52"/>
        <w:gridCol w:w="1725"/>
        <w:gridCol w:w="2897"/>
      </w:tblGrid>
      <w:tr w:rsidR="00CF5D58" w:rsidRPr="007D16A9" w:rsidTr="00F17D18">
        <w:trPr>
          <w:trHeight w:val="509"/>
        </w:trPr>
        <w:tc>
          <w:tcPr>
            <w:tcW w:w="1668" w:type="dxa"/>
            <w:vAlign w:val="center"/>
          </w:tcPr>
          <w:p w:rsidR="00CF5D58" w:rsidRPr="007D16A9" w:rsidRDefault="00CF5D58" w:rsidP="0091636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D16A9">
              <w:rPr>
                <w:rFonts w:cs="Arial"/>
                <w:b/>
                <w:sz w:val="24"/>
                <w:szCs w:val="24"/>
              </w:rPr>
              <w:t>Role Title:</w:t>
            </w:r>
          </w:p>
        </w:tc>
        <w:tc>
          <w:tcPr>
            <w:tcW w:w="2952" w:type="dxa"/>
            <w:vAlign w:val="center"/>
          </w:tcPr>
          <w:p w:rsidR="00CF5D58" w:rsidRPr="007D16A9" w:rsidRDefault="00637C69" w:rsidP="00345A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Police/</w:t>
            </w:r>
            <w:r w:rsidR="00916362">
              <w:rPr>
                <w:rFonts w:cs="Arial"/>
                <w:sz w:val="24"/>
                <w:szCs w:val="24"/>
              </w:rPr>
              <w:t>Detective Constable</w:t>
            </w:r>
            <w:r w:rsidR="004226D2">
              <w:rPr>
                <w:rFonts w:cs="Arial"/>
                <w:sz w:val="24"/>
                <w:szCs w:val="24"/>
              </w:rPr>
              <w:t xml:space="preserve">- </w:t>
            </w:r>
            <w:r w:rsidR="00CF5D58" w:rsidRPr="007D16A9">
              <w:rPr>
                <w:rFonts w:cs="Arial"/>
                <w:sz w:val="24"/>
                <w:szCs w:val="24"/>
              </w:rPr>
              <w:t xml:space="preserve"> Cyber Crime</w:t>
            </w:r>
          </w:p>
        </w:tc>
        <w:tc>
          <w:tcPr>
            <w:tcW w:w="1725" w:type="dxa"/>
            <w:vAlign w:val="center"/>
          </w:tcPr>
          <w:p w:rsidR="00CF5D58" w:rsidRPr="007D16A9" w:rsidRDefault="00CF5D58" w:rsidP="0091636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D16A9">
              <w:rPr>
                <w:rFonts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2897" w:type="dxa"/>
            <w:vAlign w:val="center"/>
          </w:tcPr>
          <w:p w:rsidR="00CF5D58" w:rsidRPr="007D16A9" w:rsidRDefault="00CF5D58" w:rsidP="00345AFD">
            <w:pPr>
              <w:jc w:val="center"/>
              <w:rPr>
                <w:rFonts w:cs="Arial"/>
                <w:sz w:val="24"/>
                <w:szCs w:val="24"/>
              </w:rPr>
            </w:pPr>
            <w:r w:rsidRPr="007D16A9">
              <w:rPr>
                <w:rFonts w:cs="Arial"/>
                <w:sz w:val="24"/>
                <w:szCs w:val="24"/>
              </w:rPr>
              <w:t>Cyber Crime</w:t>
            </w:r>
            <w:r w:rsidR="00377BB9">
              <w:rPr>
                <w:rFonts w:cs="Arial"/>
                <w:sz w:val="24"/>
                <w:szCs w:val="24"/>
              </w:rPr>
              <w:t xml:space="preserve"> – </w:t>
            </w:r>
            <w:r w:rsidR="00377BB9" w:rsidRPr="00C779F5">
              <w:rPr>
                <w:rFonts w:cs="Arial"/>
                <w:sz w:val="24"/>
                <w:szCs w:val="24"/>
              </w:rPr>
              <w:t>Dark Web Unit</w:t>
            </w:r>
          </w:p>
        </w:tc>
      </w:tr>
      <w:tr w:rsidR="00CF5D58" w:rsidRPr="007D16A9" w:rsidTr="00F17D18">
        <w:trPr>
          <w:trHeight w:val="559"/>
        </w:trPr>
        <w:tc>
          <w:tcPr>
            <w:tcW w:w="1668" w:type="dxa"/>
            <w:vAlign w:val="center"/>
          </w:tcPr>
          <w:p w:rsidR="00CF5D58" w:rsidRPr="007D16A9" w:rsidRDefault="00CF5D58" w:rsidP="0091636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D16A9">
              <w:rPr>
                <w:rFonts w:cs="Arial"/>
                <w:b/>
                <w:sz w:val="24"/>
                <w:szCs w:val="24"/>
              </w:rPr>
              <w:t>Reports To:</w:t>
            </w:r>
          </w:p>
        </w:tc>
        <w:tc>
          <w:tcPr>
            <w:tcW w:w="2952" w:type="dxa"/>
            <w:vAlign w:val="center"/>
          </w:tcPr>
          <w:p w:rsidR="00CF5D58" w:rsidRPr="007D16A9" w:rsidRDefault="004226D2" w:rsidP="00345A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Detective Sergeant - </w:t>
            </w:r>
            <w:r w:rsidR="00CF5D58" w:rsidRPr="007D16A9">
              <w:rPr>
                <w:rFonts w:cs="Arial"/>
                <w:sz w:val="24"/>
                <w:szCs w:val="24"/>
              </w:rPr>
              <w:t xml:space="preserve"> </w:t>
            </w:r>
            <w:r w:rsidR="0043653E">
              <w:rPr>
                <w:rFonts w:cs="Arial"/>
                <w:sz w:val="24"/>
                <w:szCs w:val="24"/>
              </w:rPr>
              <w:t xml:space="preserve">Pursue </w:t>
            </w:r>
            <w:r w:rsidR="00CF5D58" w:rsidRPr="007D16A9">
              <w:rPr>
                <w:rFonts w:cs="Arial"/>
                <w:sz w:val="24"/>
                <w:szCs w:val="24"/>
              </w:rPr>
              <w:t>Cyber Crime</w:t>
            </w:r>
          </w:p>
        </w:tc>
        <w:tc>
          <w:tcPr>
            <w:tcW w:w="1725" w:type="dxa"/>
            <w:vAlign w:val="center"/>
          </w:tcPr>
          <w:p w:rsidR="00CF5D58" w:rsidRPr="007D16A9" w:rsidRDefault="00CF5D58" w:rsidP="0091636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D16A9">
              <w:rPr>
                <w:rFonts w:cs="Arial"/>
                <w:b/>
                <w:sz w:val="24"/>
                <w:szCs w:val="24"/>
              </w:rPr>
              <w:t>Location:</w:t>
            </w:r>
          </w:p>
        </w:tc>
        <w:tc>
          <w:tcPr>
            <w:tcW w:w="2897" w:type="dxa"/>
            <w:vAlign w:val="center"/>
          </w:tcPr>
          <w:p w:rsidR="00CF5D58" w:rsidRPr="007D16A9" w:rsidRDefault="00916362" w:rsidP="00345A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South East Regional  Organised Crime Unit (SEROCU)</w:t>
            </w:r>
          </w:p>
        </w:tc>
      </w:tr>
    </w:tbl>
    <w:p w:rsidR="00CF5D58" w:rsidRPr="007D16A9" w:rsidRDefault="00CF5D58" w:rsidP="00916362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7492"/>
      </w:tblGrid>
      <w:tr w:rsidR="00CF5D58" w:rsidRPr="007D16A9" w:rsidTr="00CD60BD">
        <w:trPr>
          <w:trHeight w:val="659"/>
        </w:trPr>
        <w:tc>
          <w:tcPr>
            <w:tcW w:w="2137" w:type="dxa"/>
          </w:tcPr>
          <w:p w:rsidR="00CF5D58" w:rsidRPr="007D16A9" w:rsidRDefault="00CF5D58" w:rsidP="0091636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D16A9">
              <w:rPr>
                <w:rFonts w:cs="Arial"/>
                <w:b/>
                <w:sz w:val="24"/>
                <w:szCs w:val="24"/>
              </w:rPr>
              <w:t>Purpose of role:</w:t>
            </w:r>
          </w:p>
        </w:tc>
        <w:tc>
          <w:tcPr>
            <w:tcW w:w="7492" w:type="dxa"/>
          </w:tcPr>
          <w:p w:rsidR="00812E04" w:rsidRPr="00052338" w:rsidRDefault="00812E04" w:rsidP="00637C69">
            <w:pPr>
              <w:pStyle w:val="Default"/>
              <w:spacing w:after="37"/>
              <w:rPr>
                <w:color w:val="auto"/>
              </w:rPr>
            </w:pPr>
            <w:r w:rsidRPr="00052338">
              <w:rPr>
                <w:color w:val="auto"/>
              </w:rPr>
              <w:t>The Dark Web unit is a specialist team within the Regional Cyber Pursue unit. Their main focus is on the following areas:</w:t>
            </w:r>
          </w:p>
          <w:p w:rsidR="00377BB9" w:rsidRPr="00052338" w:rsidRDefault="00377BB9" w:rsidP="00637C69">
            <w:pPr>
              <w:pStyle w:val="Default"/>
              <w:numPr>
                <w:ilvl w:val="0"/>
                <w:numId w:val="21"/>
              </w:numPr>
              <w:spacing w:after="37"/>
              <w:rPr>
                <w:color w:val="auto"/>
              </w:rPr>
            </w:pPr>
            <w:r w:rsidRPr="00052338">
              <w:rPr>
                <w:color w:val="auto"/>
              </w:rPr>
              <w:t>Tackle the sale and use of illicit commodities and services on the Dar</w:t>
            </w:r>
            <w:r w:rsidR="006309FA" w:rsidRPr="00052338">
              <w:rPr>
                <w:color w:val="auto"/>
              </w:rPr>
              <w:t xml:space="preserve">k Web at a regional level focusing on </w:t>
            </w:r>
            <w:r w:rsidR="00770F0D" w:rsidRPr="00052338">
              <w:rPr>
                <w:color w:val="auto"/>
              </w:rPr>
              <w:t>cyber-crime</w:t>
            </w:r>
            <w:r w:rsidRPr="00052338">
              <w:rPr>
                <w:color w:val="auto"/>
              </w:rPr>
              <w:t>, drugs, firearms, cred</w:t>
            </w:r>
            <w:r w:rsidR="006309FA" w:rsidRPr="00052338">
              <w:rPr>
                <w:color w:val="auto"/>
              </w:rPr>
              <w:t xml:space="preserve">ential trading and Modern Slavery. </w:t>
            </w:r>
            <w:r w:rsidRPr="00052338">
              <w:rPr>
                <w:color w:val="auto"/>
              </w:rPr>
              <w:t xml:space="preserve"> </w:t>
            </w:r>
          </w:p>
          <w:p w:rsidR="00377BB9" w:rsidRPr="00052338" w:rsidRDefault="00377BB9" w:rsidP="00637C69">
            <w:pPr>
              <w:pStyle w:val="Default"/>
              <w:numPr>
                <w:ilvl w:val="0"/>
                <w:numId w:val="21"/>
              </w:numPr>
              <w:spacing w:after="37"/>
              <w:rPr>
                <w:color w:val="auto"/>
              </w:rPr>
            </w:pPr>
            <w:r w:rsidRPr="00052338">
              <w:rPr>
                <w:color w:val="auto"/>
              </w:rPr>
              <w:t>Focus on investigations and intelligence development including the identification, attribution and successful prosecution of suspects active in the UK</w:t>
            </w:r>
            <w:r w:rsidR="006309FA" w:rsidRPr="00052338">
              <w:rPr>
                <w:color w:val="auto"/>
              </w:rPr>
              <w:t xml:space="preserve">. </w:t>
            </w:r>
            <w:r w:rsidRPr="00052338">
              <w:rPr>
                <w:color w:val="auto"/>
              </w:rPr>
              <w:t xml:space="preserve"> </w:t>
            </w:r>
          </w:p>
          <w:p w:rsidR="00812E04" w:rsidRPr="00052338" w:rsidRDefault="00812E04" w:rsidP="00637C69">
            <w:pPr>
              <w:pStyle w:val="Default"/>
              <w:numPr>
                <w:ilvl w:val="0"/>
                <w:numId w:val="21"/>
              </w:numPr>
              <w:spacing w:after="37"/>
              <w:rPr>
                <w:color w:val="auto"/>
              </w:rPr>
            </w:pPr>
            <w:r w:rsidRPr="00052338">
              <w:rPr>
                <w:color w:val="auto"/>
              </w:rPr>
              <w:t xml:space="preserve">Work in partnership with both law enforcement partners both inside the United Kingdom and internationally. </w:t>
            </w:r>
          </w:p>
          <w:p w:rsidR="00812E04" w:rsidRPr="00052338" w:rsidRDefault="00812E04" w:rsidP="00637C69">
            <w:pPr>
              <w:pStyle w:val="Default"/>
              <w:numPr>
                <w:ilvl w:val="0"/>
                <w:numId w:val="21"/>
              </w:numPr>
              <w:spacing w:after="37"/>
              <w:rPr>
                <w:color w:val="auto"/>
              </w:rPr>
            </w:pPr>
            <w:r w:rsidRPr="00052338">
              <w:rPr>
                <w:color w:val="auto"/>
              </w:rPr>
              <w:t>Advise and provide services to the wider ROCU and Force Cyber Crime teams</w:t>
            </w:r>
          </w:p>
          <w:p w:rsidR="00CF5D58" w:rsidRPr="00052338" w:rsidRDefault="00812E04" w:rsidP="00637C69">
            <w:pPr>
              <w:pStyle w:val="Default"/>
              <w:numPr>
                <w:ilvl w:val="0"/>
                <w:numId w:val="21"/>
              </w:numPr>
              <w:spacing w:after="37"/>
              <w:rPr>
                <w:color w:val="auto"/>
              </w:rPr>
            </w:pPr>
            <w:r w:rsidRPr="00052338">
              <w:rPr>
                <w:color w:val="auto"/>
              </w:rPr>
              <w:t xml:space="preserve">Support others within the organisation in upskilling and awareness in Dark Web, Cryptocurrency and Cyber Crime. </w:t>
            </w:r>
          </w:p>
        </w:tc>
      </w:tr>
      <w:tr w:rsidR="00CF5D58" w:rsidRPr="007D16A9" w:rsidTr="00CD60BD">
        <w:trPr>
          <w:trHeight w:val="682"/>
        </w:trPr>
        <w:tc>
          <w:tcPr>
            <w:tcW w:w="2137" w:type="dxa"/>
          </w:tcPr>
          <w:p w:rsidR="00CF5D58" w:rsidRPr="007D16A9" w:rsidRDefault="00CF5D58" w:rsidP="0091636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D16A9">
              <w:rPr>
                <w:rFonts w:cs="Arial"/>
                <w:b/>
                <w:sz w:val="24"/>
                <w:szCs w:val="24"/>
              </w:rPr>
              <w:t>Principle Responsibilities:</w:t>
            </w:r>
          </w:p>
        </w:tc>
        <w:tc>
          <w:tcPr>
            <w:tcW w:w="7492" w:type="dxa"/>
          </w:tcPr>
          <w:p w:rsidR="00CF5D58" w:rsidRPr="00770F0D" w:rsidRDefault="00770F0D" w:rsidP="00637C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Conduct proactive and reactive Dark Web and Cyber Crime investigations. </w:t>
            </w:r>
          </w:p>
        </w:tc>
      </w:tr>
      <w:tr w:rsidR="00CF5D58" w:rsidRPr="007D16A9" w:rsidTr="00CD60BD">
        <w:trPr>
          <w:trHeight w:val="706"/>
        </w:trPr>
        <w:tc>
          <w:tcPr>
            <w:tcW w:w="2137" w:type="dxa"/>
          </w:tcPr>
          <w:p w:rsidR="00CF5D58" w:rsidRPr="007D16A9" w:rsidRDefault="00CF5D58" w:rsidP="0091636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492" w:type="dxa"/>
          </w:tcPr>
          <w:p w:rsidR="00CF5D58" w:rsidRPr="007D16A9" w:rsidRDefault="00770F0D" w:rsidP="00637C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Correctly identifying issues around threat, harm and risk. Notifying relevant parties about this and putting in place appropriate safeguarding measures. </w:t>
            </w:r>
          </w:p>
        </w:tc>
      </w:tr>
      <w:tr w:rsidR="00CF5D58" w:rsidRPr="007D16A9" w:rsidTr="00CD60BD">
        <w:trPr>
          <w:trHeight w:val="688"/>
        </w:trPr>
        <w:tc>
          <w:tcPr>
            <w:tcW w:w="2137" w:type="dxa"/>
          </w:tcPr>
          <w:p w:rsidR="00CF5D58" w:rsidRPr="007D16A9" w:rsidRDefault="00CF5D58" w:rsidP="0091636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492" w:type="dxa"/>
          </w:tcPr>
          <w:p w:rsidR="00CF5D58" w:rsidRPr="007D16A9" w:rsidRDefault="00770F0D" w:rsidP="00637C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Liaising with CPS and international prosecution teams. Working with international partners and being aware of the differences in legislation, processes and criminal justice systems of those other countries. </w:t>
            </w:r>
          </w:p>
        </w:tc>
      </w:tr>
      <w:tr w:rsidR="000F11F3" w:rsidRPr="007D16A9" w:rsidTr="00CD60BD">
        <w:trPr>
          <w:trHeight w:val="712"/>
        </w:trPr>
        <w:tc>
          <w:tcPr>
            <w:tcW w:w="2137" w:type="dxa"/>
          </w:tcPr>
          <w:p w:rsidR="000F11F3" w:rsidRPr="007D16A9" w:rsidRDefault="000F11F3" w:rsidP="0091636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492" w:type="dxa"/>
          </w:tcPr>
          <w:p w:rsidR="000F11F3" w:rsidRPr="007D16A9" w:rsidRDefault="002B013F" w:rsidP="00637C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Correctly handling evidential material, disclosing this in compliance with the CPIA. Identifying material that can undermine the prosecution case, assist the defence or is otherwise sensitive.</w:t>
            </w:r>
          </w:p>
        </w:tc>
      </w:tr>
      <w:tr w:rsidR="000F11F3" w:rsidRPr="007D16A9" w:rsidTr="00CD60BD">
        <w:trPr>
          <w:trHeight w:val="712"/>
        </w:trPr>
        <w:tc>
          <w:tcPr>
            <w:tcW w:w="2137" w:type="dxa"/>
          </w:tcPr>
          <w:p w:rsidR="000F11F3" w:rsidRPr="007D16A9" w:rsidRDefault="000F11F3" w:rsidP="0091636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492" w:type="dxa"/>
          </w:tcPr>
          <w:p w:rsidR="000F11F3" w:rsidRPr="007D16A9" w:rsidRDefault="002B013F" w:rsidP="00637C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Utilising and acting on intelligence in line with handling codes and restrictions. Understanding the risks around using intelligence and the process of sharing information with others. </w:t>
            </w:r>
          </w:p>
        </w:tc>
      </w:tr>
      <w:tr w:rsidR="002B013F" w:rsidRPr="007D16A9" w:rsidTr="00CD60BD">
        <w:trPr>
          <w:trHeight w:val="712"/>
        </w:trPr>
        <w:tc>
          <w:tcPr>
            <w:tcW w:w="2137" w:type="dxa"/>
          </w:tcPr>
          <w:p w:rsidR="002B013F" w:rsidRPr="007D16A9" w:rsidRDefault="002B013F" w:rsidP="0091636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492" w:type="dxa"/>
          </w:tcPr>
          <w:p w:rsidR="002B013F" w:rsidRDefault="002B013F" w:rsidP="00637C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Maintaining awareness of tactics used by online criminals, including technology used to obfuscate identity and remain anonymous. To be aware of </w:t>
            </w:r>
            <w:proofErr w:type="spellStart"/>
            <w:r>
              <w:rPr>
                <w:rFonts w:cs="Arial"/>
                <w:sz w:val="24"/>
                <w:szCs w:val="24"/>
              </w:rPr>
              <w:t>darknet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market places, the commodities or services available and payment methods accepted. </w:t>
            </w:r>
          </w:p>
        </w:tc>
      </w:tr>
      <w:tr w:rsidR="002B013F" w:rsidRPr="007D16A9" w:rsidTr="00CD60BD">
        <w:trPr>
          <w:trHeight w:val="712"/>
        </w:trPr>
        <w:tc>
          <w:tcPr>
            <w:tcW w:w="2137" w:type="dxa"/>
          </w:tcPr>
          <w:p w:rsidR="002B013F" w:rsidRPr="007D16A9" w:rsidRDefault="002B013F" w:rsidP="0091636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492" w:type="dxa"/>
          </w:tcPr>
          <w:p w:rsidR="002B013F" w:rsidRDefault="002B013F" w:rsidP="00637C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Being aware of Cryptocurrency technologies, the various options when transferring of funds and realisation, storage methods </w:t>
            </w:r>
            <w:r>
              <w:rPr>
                <w:rFonts w:cs="Arial"/>
                <w:sz w:val="24"/>
                <w:szCs w:val="24"/>
              </w:rPr>
              <w:lastRenderedPageBreak/>
              <w:t xml:space="preserve">available, the role of Cryptocurrency exchanges and techniques available to locate and trace funds.  </w:t>
            </w:r>
          </w:p>
        </w:tc>
      </w:tr>
      <w:tr w:rsidR="002B013F" w:rsidRPr="007D16A9" w:rsidTr="00CD60BD">
        <w:trPr>
          <w:trHeight w:val="712"/>
        </w:trPr>
        <w:tc>
          <w:tcPr>
            <w:tcW w:w="2137" w:type="dxa"/>
          </w:tcPr>
          <w:p w:rsidR="002B013F" w:rsidRPr="007D16A9" w:rsidRDefault="002B013F" w:rsidP="0091636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492" w:type="dxa"/>
          </w:tcPr>
          <w:p w:rsidR="002B013F" w:rsidRDefault="002B013F" w:rsidP="00637C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Advise and lead others outside the unit in technical matters or the best approach in relation to a digital or cyber-based enquiry. </w:t>
            </w:r>
          </w:p>
        </w:tc>
      </w:tr>
      <w:tr w:rsidR="002B013F" w:rsidRPr="007D16A9" w:rsidTr="00CD60BD">
        <w:trPr>
          <w:trHeight w:val="712"/>
        </w:trPr>
        <w:tc>
          <w:tcPr>
            <w:tcW w:w="2137" w:type="dxa"/>
          </w:tcPr>
          <w:p w:rsidR="002B013F" w:rsidRPr="007D16A9" w:rsidRDefault="002B013F" w:rsidP="0091636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492" w:type="dxa"/>
          </w:tcPr>
          <w:p w:rsidR="002B013F" w:rsidRDefault="002B013F" w:rsidP="00637C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Conduct examinations and analysis of seized devices; working with agreed standards and procedures. Remaining competent in these examinations by ensuring routi</w:t>
            </w:r>
            <w:r w:rsidR="00B43443">
              <w:rPr>
                <w:rFonts w:cs="Arial"/>
                <w:sz w:val="24"/>
                <w:szCs w:val="24"/>
              </w:rPr>
              <w:t xml:space="preserve">ne training and assessments remain </w:t>
            </w:r>
            <w:r>
              <w:rPr>
                <w:rFonts w:cs="Arial"/>
                <w:sz w:val="24"/>
                <w:szCs w:val="24"/>
              </w:rPr>
              <w:t>up to date.</w:t>
            </w:r>
          </w:p>
        </w:tc>
      </w:tr>
      <w:tr w:rsidR="00770F0D" w:rsidRPr="007D16A9" w:rsidTr="00CD60BD">
        <w:trPr>
          <w:trHeight w:val="700"/>
        </w:trPr>
        <w:tc>
          <w:tcPr>
            <w:tcW w:w="2137" w:type="dxa"/>
          </w:tcPr>
          <w:p w:rsidR="00770F0D" w:rsidRPr="007D16A9" w:rsidRDefault="00770F0D" w:rsidP="00421C9C">
            <w:pPr>
              <w:rPr>
                <w:rFonts w:cs="Arial"/>
                <w:sz w:val="24"/>
                <w:szCs w:val="24"/>
              </w:rPr>
            </w:pPr>
            <w:r w:rsidRPr="007D16A9">
              <w:rPr>
                <w:rFonts w:cs="Arial"/>
                <w:b/>
                <w:sz w:val="24"/>
                <w:szCs w:val="24"/>
              </w:rPr>
              <w:t>Essential role based training:</w:t>
            </w:r>
          </w:p>
        </w:tc>
        <w:tc>
          <w:tcPr>
            <w:tcW w:w="7492" w:type="dxa"/>
          </w:tcPr>
          <w:p w:rsidR="00FF758F" w:rsidRPr="0078020F" w:rsidRDefault="00770F0D" w:rsidP="00637C69">
            <w:pPr>
              <w:numPr>
                <w:ilvl w:val="0"/>
                <w:numId w:val="19"/>
              </w:numPr>
              <w:rPr>
                <w:rFonts w:cs="Arial"/>
                <w:iCs/>
                <w:sz w:val="24"/>
                <w:szCs w:val="24"/>
              </w:rPr>
            </w:pPr>
            <w:r w:rsidRPr="007D16A9">
              <w:rPr>
                <w:rFonts w:cs="Arial"/>
                <w:iCs/>
                <w:color w:val="000000"/>
                <w:sz w:val="24"/>
                <w:szCs w:val="24"/>
              </w:rPr>
              <w:t>Substantive</w:t>
            </w:r>
            <w:r>
              <w:rPr>
                <w:rFonts w:cs="Arial"/>
                <w:iCs/>
                <w:color w:val="000000"/>
                <w:sz w:val="24"/>
                <w:szCs w:val="24"/>
              </w:rPr>
              <w:t xml:space="preserve"> </w:t>
            </w:r>
            <w:r w:rsidR="00FF758F">
              <w:rPr>
                <w:rFonts w:cs="Arial"/>
                <w:iCs/>
                <w:color w:val="000000"/>
                <w:sz w:val="24"/>
                <w:szCs w:val="24"/>
              </w:rPr>
              <w:t xml:space="preserve">Detective Constable - </w:t>
            </w:r>
            <w:r w:rsidR="00FF758F" w:rsidRPr="00C779F5">
              <w:rPr>
                <w:rFonts w:cs="Arial"/>
                <w:iCs/>
                <w:sz w:val="24"/>
                <w:szCs w:val="24"/>
              </w:rPr>
              <w:t xml:space="preserve">Has completed a CID foundation course or successfully completed the ICIDP </w:t>
            </w:r>
            <w:r w:rsidR="00FF758F">
              <w:rPr>
                <w:rFonts w:cs="Arial"/>
                <w:b/>
                <w:iCs/>
                <w:sz w:val="24"/>
                <w:szCs w:val="24"/>
              </w:rPr>
              <w:t>(Essential</w:t>
            </w:r>
            <w:r w:rsidR="00FF758F" w:rsidRPr="00C779F5">
              <w:rPr>
                <w:rFonts w:cs="Arial"/>
                <w:b/>
                <w:iCs/>
                <w:sz w:val="24"/>
                <w:szCs w:val="24"/>
              </w:rPr>
              <w:t>)</w:t>
            </w:r>
            <w:r w:rsidR="00FF758F" w:rsidRPr="000704C9">
              <w:rPr>
                <w:rFonts w:cs="Arial"/>
                <w:b/>
                <w:iCs/>
                <w:sz w:val="24"/>
                <w:szCs w:val="24"/>
              </w:rPr>
              <w:t xml:space="preserve"> </w:t>
            </w:r>
          </w:p>
          <w:p w:rsidR="0078020F" w:rsidRPr="0078020F" w:rsidRDefault="0078020F" w:rsidP="00637C69">
            <w:pPr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0F0D" w:rsidRPr="007D16A9" w:rsidTr="00CD60BD">
        <w:trPr>
          <w:trHeight w:val="700"/>
        </w:trPr>
        <w:tc>
          <w:tcPr>
            <w:tcW w:w="2137" w:type="dxa"/>
          </w:tcPr>
          <w:p w:rsidR="00770F0D" w:rsidRPr="007D16A9" w:rsidRDefault="00770F0D" w:rsidP="00421C9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Essential Criteria: </w:t>
            </w:r>
          </w:p>
        </w:tc>
        <w:tc>
          <w:tcPr>
            <w:tcW w:w="7492" w:type="dxa"/>
          </w:tcPr>
          <w:p w:rsidR="00421C9C" w:rsidRPr="00421C9C" w:rsidRDefault="00421C9C" w:rsidP="00637C69">
            <w:pPr>
              <w:numPr>
                <w:ilvl w:val="0"/>
                <w:numId w:val="19"/>
              </w:numPr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Proven ability to conduct and lead complex investigations, including e</w:t>
            </w:r>
            <w:r w:rsidRPr="00421C9C">
              <w:rPr>
                <w:rFonts w:cs="Arial"/>
                <w:iCs/>
                <w:sz w:val="24"/>
                <w:szCs w:val="24"/>
              </w:rPr>
              <w:t>xperience with taking investigations through the court process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iCs/>
                <w:sz w:val="24"/>
                <w:szCs w:val="24"/>
              </w:rPr>
              <w:t>(Es</w:t>
            </w:r>
            <w:r w:rsidRPr="00C779F5">
              <w:rPr>
                <w:rFonts w:cs="Arial"/>
                <w:b/>
                <w:iCs/>
                <w:sz w:val="24"/>
                <w:szCs w:val="24"/>
              </w:rPr>
              <w:t>sential)</w:t>
            </w:r>
          </w:p>
          <w:p w:rsidR="00421C9C" w:rsidRDefault="00421C9C" w:rsidP="00637C69">
            <w:pPr>
              <w:numPr>
                <w:ilvl w:val="0"/>
                <w:numId w:val="19"/>
              </w:numPr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Ability to handle and correctly disclose material during an investigation, identifying sensitive material and compliance with the CPIA </w:t>
            </w:r>
            <w:r>
              <w:rPr>
                <w:rFonts w:cs="Arial"/>
                <w:b/>
                <w:iCs/>
                <w:sz w:val="24"/>
                <w:szCs w:val="24"/>
              </w:rPr>
              <w:t>(Es</w:t>
            </w:r>
            <w:r w:rsidRPr="00C779F5">
              <w:rPr>
                <w:rFonts w:cs="Arial"/>
                <w:b/>
                <w:iCs/>
                <w:sz w:val="24"/>
                <w:szCs w:val="24"/>
              </w:rPr>
              <w:t>sential)</w:t>
            </w:r>
          </w:p>
          <w:p w:rsidR="00770F0D" w:rsidRPr="00421C9C" w:rsidRDefault="00421C9C" w:rsidP="00637C69">
            <w:pPr>
              <w:numPr>
                <w:ilvl w:val="0"/>
                <w:numId w:val="19"/>
              </w:numPr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A</w:t>
            </w:r>
            <w:r w:rsidR="00770F0D" w:rsidRPr="00C779F5">
              <w:rPr>
                <w:rFonts w:cs="Arial"/>
                <w:iCs/>
                <w:sz w:val="24"/>
                <w:szCs w:val="24"/>
              </w:rPr>
              <w:t xml:space="preserve">bility to handle intelligence/sensitive information </w:t>
            </w:r>
            <w:r w:rsidR="00770F0D">
              <w:rPr>
                <w:rFonts w:cs="Arial"/>
                <w:b/>
                <w:iCs/>
                <w:sz w:val="24"/>
                <w:szCs w:val="24"/>
              </w:rPr>
              <w:t>(E</w:t>
            </w:r>
            <w:r w:rsidR="00770F0D" w:rsidRPr="00C779F5">
              <w:rPr>
                <w:rFonts w:cs="Arial"/>
                <w:b/>
                <w:iCs/>
                <w:sz w:val="24"/>
                <w:szCs w:val="24"/>
              </w:rPr>
              <w:t xml:space="preserve">ssential) </w:t>
            </w:r>
          </w:p>
          <w:p w:rsidR="00421C9C" w:rsidRPr="00C779F5" w:rsidRDefault="00421C9C" w:rsidP="00637C69">
            <w:pPr>
              <w:numPr>
                <w:ilvl w:val="0"/>
                <w:numId w:val="19"/>
              </w:numPr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Genuine interest in relation to technology, computers or the online world, with the natural ability to conduct research without direction or instruction</w:t>
            </w:r>
            <w:r w:rsidRPr="00345AFD"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345AFD">
              <w:rPr>
                <w:rFonts w:cs="Arial"/>
                <w:b/>
                <w:iCs/>
                <w:sz w:val="24"/>
                <w:szCs w:val="24"/>
              </w:rPr>
              <w:t>(Essential)</w:t>
            </w:r>
          </w:p>
          <w:p w:rsidR="00770F0D" w:rsidRDefault="00770F0D" w:rsidP="00637C69">
            <w:pPr>
              <w:numPr>
                <w:ilvl w:val="0"/>
                <w:numId w:val="19"/>
              </w:numPr>
              <w:rPr>
                <w:rFonts w:cs="Arial"/>
                <w:iCs/>
                <w:sz w:val="24"/>
                <w:szCs w:val="24"/>
              </w:rPr>
            </w:pPr>
            <w:r w:rsidRPr="00C779F5">
              <w:rPr>
                <w:rFonts w:cs="Arial"/>
                <w:iCs/>
                <w:sz w:val="24"/>
                <w:szCs w:val="24"/>
              </w:rPr>
              <w:t xml:space="preserve">Ability to work effectively within a team as well as independently and to operate under pressure  </w:t>
            </w:r>
            <w:r>
              <w:rPr>
                <w:rFonts w:cs="Arial"/>
                <w:b/>
                <w:iCs/>
                <w:sz w:val="24"/>
                <w:szCs w:val="24"/>
              </w:rPr>
              <w:t>(E</w:t>
            </w:r>
            <w:r w:rsidRPr="00C779F5">
              <w:rPr>
                <w:rFonts w:cs="Arial"/>
                <w:b/>
                <w:iCs/>
                <w:sz w:val="24"/>
                <w:szCs w:val="24"/>
              </w:rPr>
              <w:t>ssential)</w:t>
            </w:r>
          </w:p>
          <w:p w:rsidR="00421C9C" w:rsidRPr="00421C9C" w:rsidRDefault="00770F0D" w:rsidP="00637C69">
            <w:pPr>
              <w:numPr>
                <w:ilvl w:val="0"/>
                <w:numId w:val="19"/>
              </w:numPr>
              <w:rPr>
                <w:rFonts w:cs="Arial"/>
                <w:iCs/>
                <w:sz w:val="24"/>
                <w:szCs w:val="24"/>
              </w:rPr>
            </w:pPr>
            <w:r w:rsidRPr="00345AFD">
              <w:rPr>
                <w:rFonts w:cs="Arial"/>
                <w:iCs/>
                <w:sz w:val="24"/>
                <w:szCs w:val="24"/>
              </w:rPr>
              <w:t xml:space="preserve">Effective communication and interpersonal skills </w:t>
            </w:r>
            <w:r w:rsidRPr="00345AFD">
              <w:rPr>
                <w:rFonts w:cs="Arial"/>
                <w:b/>
                <w:iCs/>
                <w:sz w:val="24"/>
                <w:szCs w:val="24"/>
              </w:rPr>
              <w:t>(Essential)</w:t>
            </w:r>
          </w:p>
        </w:tc>
      </w:tr>
      <w:tr w:rsidR="00770F0D" w:rsidRPr="007D16A9" w:rsidTr="00CD60BD">
        <w:trPr>
          <w:trHeight w:val="700"/>
        </w:trPr>
        <w:tc>
          <w:tcPr>
            <w:tcW w:w="2137" w:type="dxa"/>
          </w:tcPr>
          <w:p w:rsidR="00770F0D" w:rsidRPr="007D16A9" w:rsidRDefault="00770F0D" w:rsidP="00421C9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Desirable Criteria: </w:t>
            </w:r>
          </w:p>
        </w:tc>
        <w:tc>
          <w:tcPr>
            <w:tcW w:w="7492" w:type="dxa"/>
          </w:tcPr>
          <w:p w:rsidR="00421C9C" w:rsidRPr="00C779F5" w:rsidRDefault="00421C9C" w:rsidP="00637C69">
            <w:pPr>
              <w:numPr>
                <w:ilvl w:val="0"/>
                <w:numId w:val="19"/>
              </w:numPr>
              <w:rPr>
                <w:rFonts w:cs="Arial"/>
                <w:iCs/>
                <w:sz w:val="24"/>
                <w:szCs w:val="24"/>
              </w:rPr>
            </w:pPr>
            <w:r w:rsidRPr="00C779F5">
              <w:rPr>
                <w:rFonts w:cs="Arial"/>
                <w:sz w:val="24"/>
                <w:szCs w:val="24"/>
              </w:rPr>
              <w:t xml:space="preserve">Experience working in the cyber and digital environment and knowledge of the practical challenges this presents. </w:t>
            </w:r>
            <w:r>
              <w:rPr>
                <w:rFonts w:cs="Arial"/>
                <w:b/>
                <w:sz w:val="24"/>
                <w:szCs w:val="24"/>
              </w:rPr>
              <w:t>(D</w:t>
            </w:r>
            <w:r w:rsidRPr="00C779F5">
              <w:rPr>
                <w:rFonts w:cs="Arial"/>
                <w:b/>
                <w:sz w:val="24"/>
                <w:szCs w:val="24"/>
              </w:rPr>
              <w:t>esirable)</w:t>
            </w:r>
          </w:p>
          <w:p w:rsidR="00421C9C" w:rsidRPr="00C779F5" w:rsidRDefault="00421C9C" w:rsidP="00637C69">
            <w:pPr>
              <w:numPr>
                <w:ilvl w:val="0"/>
                <w:numId w:val="19"/>
              </w:numPr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Experience or knowledge of the process when conducting enquiries and obtaining material from international sources</w:t>
            </w:r>
            <w:r w:rsidRPr="00C779F5">
              <w:rPr>
                <w:rFonts w:cs="Arial"/>
                <w:sz w:val="24"/>
                <w:szCs w:val="24"/>
              </w:rPr>
              <w:t xml:space="preserve">. </w:t>
            </w:r>
            <w:r>
              <w:rPr>
                <w:rFonts w:cs="Arial"/>
                <w:b/>
                <w:sz w:val="24"/>
                <w:szCs w:val="24"/>
              </w:rPr>
              <w:t>(D</w:t>
            </w:r>
            <w:r w:rsidRPr="00C779F5">
              <w:rPr>
                <w:rFonts w:cs="Arial"/>
                <w:b/>
                <w:sz w:val="24"/>
                <w:szCs w:val="24"/>
              </w:rPr>
              <w:t>esirable)</w:t>
            </w:r>
          </w:p>
          <w:p w:rsidR="00421C9C" w:rsidRPr="00C779F5" w:rsidRDefault="00421C9C" w:rsidP="00637C69">
            <w:pPr>
              <w:numPr>
                <w:ilvl w:val="0"/>
                <w:numId w:val="19"/>
              </w:numPr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Experience, training or computer based qualifications </w:t>
            </w:r>
            <w:r>
              <w:rPr>
                <w:rFonts w:cs="Arial"/>
                <w:b/>
                <w:iCs/>
                <w:sz w:val="24"/>
                <w:szCs w:val="24"/>
              </w:rPr>
              <w:t>(D</w:t>
            </w:r>
            <w:r w:rsidRPr="00C779F5">
              <w:rPr>
                <w:rFonts w:cs="Arial"/>
                <w:b/>
                <w:iCs/>
                <w:sz w:val="24"/>
                <w:szCs w:val="24"/>
              </w:rPr>
              <w:t>esirable)</w:t>
            </w:r>
            <w:r w:rsidRPr="00C779F5">
              <w:rPr>
                <w:rFonts w:cs="Arial"/>
                <w:iCs/>
                <w:sz w:val="24"/>
                <w:szCs w:val="24"/>
              </w:rPr>
              <w:t xml:space="preserve"> </w:t>
            </w:r>
          </w:p>
          <w:p w:rsidR="00421C9C" w:rsidRDefault="00421C9C" w:rsidP="00637C69">
            <w:pPr>
              <w:numPr>
                <w:ilvl w:val="0"/>
                <w:numId w:val="19"/>
              </w:numPr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Experience working with computer systems, such as servers, computer infrastructure, networking or programming </w:t>
            </w:r>
            <w:r>
              <w:rPr>
                <w:rFonts w:cs="Arial"/>
                <w:b/>
                <w:iCs/>
                <w:sz w:val="24"/>
                <w:szCs w:val="24"/>
              </w:rPr>
              <w:t>(D</w:t>
            </w:r>
            <w:r w:rsidRPr="00C779F5">
              <w:rPr>
                <w:rFonts w:cs="Arial"/>
                <w:b/>
                <w:iCs/>
                <w:sz w:val="24"/>
                <w:szCs w:val="24"/>
              </w:rPr>
              <w:t>esirabl</w:t>
            </w:r>
            <w:r>
              <w:rPr>
                <w:rFonts w:cs="Arial"/>
                <w:b/>
                <w:iCs/>
                <w:sz w:val="24"/>
                <w:szCs w:val="24"/>
              </w:rPr>
              <w:t>e)</w:t>
            </w:r>
          </w:p>
          <w:p w:rsidR="00770F0D" w:rsidRPr="00421C9C" w:rsidRDefault="00421C9C" w:rsidP="00637C69">
            <w:pPr>
              <w:numPr>
                <w:ilvl w:val="0"/>
                <w:numId w:val="19"/>
              </w:numPr>
              <w:rPr>
                <w:rFonts w:cs="Arial"/>
                <w:iCs/>
                <w:sz w:val="24"/>
                <w:szCs w:val="24"/>
              </w:rPr>
            </w:pPr>
            <w:r w:rsidRPr="00C779F5">
              <w:rPr>
                <w:rFonts w:cs="Arial"/>
                <w:iCs/>
                <w:sz w:val="24"/>
                <w:szCs w:val="24"/>
              </w:rPr>
              <w:t xml:space="preserve">Ability to evidence computer forensic qualifications </w:t>
            </w:r>
            <w:r>
              <w:rPr>
                <w:rFonts w:cs="Arial"/>
                <w:b/>
                <w:iCs/>
                <w:sz w:val="24"/>
                <w:szCs w:val="24"/>
              </w:rPr>
              <w:t>(D</w:t>
            </w:r>
            <w:r w:rsidRPr="00C779F5">
              <w:rPr>
                <w:rFonts w:cs="Arial"/>
                <w:b/>
                <w:iCs/>
                <w:sz w:val="24"/>
                <w:szCs w:val="24"/>
              </w:rPr>
              <w:t>esirable)</w:t>
            </w:r>
            <w:r w:rsidRPr="00C779F5">
              <w:rPr>
                <w:rFonts w:cs="Arial"/>
                <w:iCs/>
                <w:sz w:val="24"/>
                <w:szCs w:val="24"/>
              </w:rPr>
              <w:t xml:space="preserve"> </w:t>
            </w:r>
          </w:p>
        </w:tc>
      </w:tr>
    </w:tbl>
    <w:p w:rsidR="00CF5D58" w:rsidRDefault="00CF5D58" w:rsidP="00916362">
      <w:pPr>
        <w:jc w:val="both"/>
        <w:rPr>
          <w:rFonts w:cs="Arial"/>
          <w:sz w:val="24"/>
          <w:szCs w:val="24"/>
        </w:rPr>
      </w:pPr>
    </w:p>
    <w:p w:rsidR="00CF5D58" w:rsidRDefault="00CF5D58" w:rsidP="00916362">
      <w:pPr>
        <w:jc w:val="both"/>
      </w:pPr>
    </w:p>
    <w:p w:rsidR="00CF5D58" w:rsidRDefault="00CF5D58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4226D2" w:rsidRDefault="004226D2" w:rsidP="00916362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326"/>
        <w:gridCol w:w="1276"/>
      </w:tblGrid>
      <w:tr w:rsidR="004226D2" w:rsidTr="00164557">
        <w:trPr>
          <w:trHeight w:val="513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hideMark/>
          </w:tcPr>
          <w:p w:rsidR="004226D2" w:rsidRDefault="004226D2" w:rsidP="00916362">
            <w:pPr>
              <w:pStyle w:val="Title"/>
              <w:jc w:val="both"/>
              <w:rPr>
                <w:rFonts w:ascii="Verdana" w:hAnsi="Verdana"/>
                <w:b/>
                <w:color w:val="FFFFFF"/>
                <w:sz w:val="36"/>
              </w:rPr>
            </w:pPr>
            <w:r>
              <w:rPr>
                <w:rFonts w:ascii="Verdana" w:hAnsi="Verdana"/>
                <w:b/>
                <w:color w:val="FFFFFF"/>
                <w:sz w:val="36"/>
              </w:rPr>
              <w:lastRenderedPageBreak/>
              <w:t>ROLE PROFILE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226D2" w:rsidRDefault="004226D2" w:rsidP="00916362">
            <w:pPr>
              <w:pStyle w:val="Title"/>
              <w:jc w:val="both"/>
              <w:rPr>
                <w:rFonts w:ascii="Verdana" w:hAnsi="Verdana"/>
                <w:b/>
                <w:color w:val="000000"/>
                <w:sz w:val="36"/>
              </w:rPr>
            </w:pPr>
            <w:r>
              <w:rPr>
                <w:rFonts w:ascii="Verdana" w:hAnsi="Verdana"/>
                <w:b/>
                <w:color w:val="000000"/>
                <w:sz w:val="36"/>
              </w:rPr>
              <w:t>Constable</w:t>
            </w:r>
          </w:p>
          <w:p w:rsidR="004226D2" w:rsidRDefault="004226D2" w:rsidP="00916362">
            <w:pPr>
              <w:pStyle w:val="Title"/>
              <w:jc w:val="both"/>
              <w:rPr>
                <w:rFonts w:ascii="Verdana" w:hAnsi="Verdana"/>
                <w:b/>
                <w:color w:val="000000"/>
                <w:sz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6D2" w:rsidRDefault="004226D2" w:rsidP="00916362">
            <w:pPr>
              <w:pStyle w:val="Title"/>
              <w:jc w:val="both"/>
              <w:rPr>
                <w:rFonts w:ascii="Verdana" w:hAnsi="Verdana"/>
                <w:b/>
                <w:color w:val="0000FF"/>
                <w:sz w:val="24"/>
              </w:rPr>
            </w:pPr>
          </w:p>
          <w:p w:rsidR="004226D2" w:rsidRDefault="004226D2" w:rsidP="00916362">
            <w:pPr>
              <w:pStyle w:val="Title"/>
              <w:jc w:val="both"/>
              <w:rPr>
                <w:rFonts w:ascii="Verdana" w:hAnsi="Verdana"/>
                <w:color w:val="0000FF"/>
                <w:sz w:val="24"/>
              </w:rPr>
            </w:pPr>
          </w:p>
        </w:tc>
      </w:tr>
    </w:tbl>
    <w:p w:rsidR="004226D2" w:rsidRDefault="004226D2" w:rsidP="00916362">
      <w:pPr>
        <w:jc w:val="both"/>
        <w:rPr>
          <w:rFonts w:ascii="Verdana" w:hAnsi="Verdana"/>
        </w:rPr>
      </w:pPr>
    </w:p>
    <w:tbl>
      <w:tblPr>
        <w:tblW w:w="8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60"/>
      </w:tblGrid>
      <w:tr w:rsidR="004226D2" w:rsidTr="00164557">
        <w:trPr>
          <w:cantSplit/>
          <w:trHeight w:val="49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  <w:hideMark/>
          </w:tcPr>
          <w:p w:rsidR="004226D2" w:rsidRDefault="004226D2" w:rsidP="00916362">
            <w:pPr>
              <w:pStyle w:val="Heading5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CORE RESPONSIBILITY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226D2" w:rsidRDefault="004226D2" w:rsidP="00916362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00FF"/>
              </w:rPr>
              <w:t>PERSONAL QUALITIES</w:t>
            </w:r>
          </w:p>
          <w:p w:rsidR="004226D2" w:rsidRDefault="004226D2" w:rsidP="00916362">
            <w:pPr>
              <w:jc w:val="both"/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</w:rPr>
              <w:t xml:space="preserve">The role holder should effectively deliver these key requirements:  </w:t>
            </w:r>
          </w:p>
        </w:tc>
      </w:tr>
    </w:tbl>
    <w:p w:rsidR="004226D2" w:rsidRDefault="004226D2" w:rsidP="00916362">
      <w:pPr>
        <w:jc w:val="both"/>
        <w:rPr>
          <w:rFonts w:ascii="Verdana" w:hAnsi="Verdana"/>
        </w:rPr>
      </w:pPr>
    </w:p>
    <w:tbl>
      <w:tblPr>
        <w:tblW w:w="8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60"/>
      </w:tblGrid>
      <w:tr w:rsidR="004226D2" w:rsidTr="00164557">
        <w:trPr>
          <w:trHeight w:val="69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4226D2" w:rsidRDefault="004226D2" w:rsidP="00916362">
            <w:pPr>
              <w:jc w:val="both"/>
              <w:rPr>
                <w:rFonts w:ascii="Verdana" w:hAnsi="Verdana"/>
                <w:color w:val="FFFFFF"/>
              </w:rPr>
            </w:pPr>
          </w:p>
          <w:p w:rsidR="004226D2" w:rsidRDefault="004226D2" w:rsidP="00916362">
            <w:pPr>
              <w:jc w:val="both"/>
              <w:rPr>
                <w:rFonts w:ascii="Verdana" w:hAnsi="Verdana"/>
                <w:color w:val="FFFFFF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26D2" w:rsidRDefault="004226D2" w:rsidP="00916362">
            <w:pPr>
              <w:jc w:val="both"/>
              <w:rPr>
                <w:rFonts w:ascii="Verdana" w:hAnsi="Verdana"/>
              </w:rPr>
            </w:pPr>
          </w:p>
          <w:p w:rsidR="004226D2" w:rsidRDefault="004226D2" w:rsidP="0091636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are emotionally aware – level 1</w:t>
            </w:r>
          </w:p>
          <w:p w:rsidR="004226D2" w:rsidRDefault="004226D2" w:rsidP="0091636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take ownership – level 1</w:t>
            </w:r>
          </w:p>
          <w:p w:rsidR="004226D2" w:rsidRDefault="004226D2" w:rsidP="00916362">
            <w:pPr>
              <w:jc w:val="both"/>
              <w:rPr>
                <w:rFonts w:ascii="Verdana" w:hAnsi="Verdana"/>
              </w:rPr>
            </w:pPr>
          </w:p>
        </w:tc>
      </w:tr>
    </w:tbl>
    <w:p w:rsidR="004226D2" w:rsidRDefault="004226D2" w:rsidP="00916362">
      <w:pPr>
        <w:jc w:val="both"/>
        <w:rPr>
          <w:rFonts w:ascii="Verdana" w:hAnsi="Verdana"/>
          <w:sz w:val="22"/>
        </w:rPr>
      </w:pPr>
    </w:p>
    <w:tbl>
      <w:tblPr>
        <w:tblW w:w="8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60"/>
      </w:tblGrid>
      <w:tr w:rsidR="004226D2" w:rsidTr="00164557">
        <w:trPr>
          <w:trHeight w:val="1052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4226D2" w:rsidRDefault="004226D2" w:rsidP="00916362">
            <w:pPr>
              <w:jc w:val="both"/>
              <w:rPr>
                <w:rFonts w:ascii="Verdana" w:hAnsi="Verdana"/>
                <w:color w:val="FFFFFF"/>
              </w:rPr>
            </w:pPr>
          </w:p>
          <w:p w:rsidR="004226D2" w:rsidRDefault="004226D2" w:rsidP="00916362">
            <w:pPr>
              <w:jc w:val="both"/>
              <w:rPr>
                <w:rFonts w:ascii="Verdana" w:hAnsi="Verdana"/>
                <w:color w:val="0000FF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26D2" w:rsidRDefault="004226D2" w:rsidP="00916362">
            <w:pPr>
              <w:jc w:val="both"/>
              <w:rPr>
                <w:rFonts w:ascii="Verdana" w:hAnsi="Verdana"/>
              </w:rPr>
            </w:pPr>
          </w:p>
          <w:p w:rsidR="004226D2" w:rsidRDefault="004226D2" w:rsidP="0091636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collaborate – level 1</w:t>
            </w:r>
          </w:p>
          <w:p w:rsidR="004226D2" w:rsidRDefault="004226D2" w:rsidP="0091636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deliver, support and inspire – level 1</w:t>
            </w:r>
          </w:p>
        </w:tc>
      </w:tr>
    </w:tbl>
    <w:p w:rsidR="004226D2" w:rsidRDefault="004226D2" w:rsidP="00916362">
      <w:pPr>
        <w:pStyle w:val="Header"/>
        <w:tabs>
          <w:tab w:val="left" w:pos="720"/>
        </w:tabs>
        <w:jc w:val="both"/>
        <w:rPr>
          <w:rFonts w:ascii="Verdana" w:hAnsi="Verdana"/>
          <w:sz w:val="22"/>
        </w:rPr>
      </w:pPr>
    </w:p>
    <w:tbl>
      <w:tblPr>
        <w:tblW w:w="8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60"/>
      </w:tblGrid>
      <w:tr w:rsidR="004226D2" w:rsidTr="00164557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4226D2" w:rsidRDefault="004226D2" w:rsidP="00916362">
            <w:pPr>
              <w:jc w:val="both"/>
              <w:rPr>
                <w:rFonts w:ascii="Verdana" w:hAnsi="Verdana"/>
                <w:color w:val="FFFFFF"/>
              </w:rPr>
            </w:pPr>
          </w:p>
          <w:p w:rsidR="004226D2" w:rsidRDefault="004226D2" w:rsidP="00916362">
            <w:pPr>
              <w:jc w:val="both"/>
              <w:rPr>
                <w:rFonts w:ascii="Verdana" w:hAnsi="Verdana"/>
                <w:color w:val="FFFFFF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26D2" w:rsidRDefault="004226D2" w:rsidP="00916362">
            <w:pPr>
              <w:pStyle w:val="BodyText2"/>
              <w:jc w:val="both"/>
              <w:rPr>
                <w:rFonts w:ascii="Verdana" w:hAnsi="Verdana"/>
                <w:b w:val="0"/>
                <w:color w:val="FFFFFF"/>
                <w:sz w:val="20"/>
              </w:rPr>
            </w:pPr>
          </w:p>
          <w:p w:rsidR="004226D2" w:rsidRDefault="004226D2" w:rsidP="00916362">
            <w:pPr>
              <w:pStyle w:val="BodyText2"/>
              <w:jc w:val="both"/>
              <w:rPr>
                <w:rFonts w:ascii="Verdana" w:hAnsi="Verdana"/>
                <w:b w:val="0"/>
                <w:color w:val="auto"/>
                <w:sz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</w:rPr>
              <w:t>We analyse critically – level 1</w:t>
            </w:r>
          </w:p>
          <w:p w:rsidR="004226D2" w:rsidRDefault="004226D2" w:rsidP="00916362">
            <w:pPr>
              <w:pStyle w:val="BodyText2"/>
              <w:jc w:val="both"/>
              <w:rPr>
                <w:rFonts w:ascii="Verdana" w:hAnsi="Verdana"/>
                <w:b w:val="0"/>
                <w:color w:val="auto"/>
                <w:sz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</w:rPr>
              <w:t>We are innovative and open-minded – level 1</w:t>
            </w:r>
          </w:p>
          <w:p w:rsidR="004226D2" w:rsidRDefault="004226D2" w:rsidP="00916362">
            <w:pPr>
              <w:pStyle w:val="BodyText2"/>
              <w:jc w:val="both"/>
              <w:rPr>
                <w:rFonts w:ascii="Verdana" w:hAnsi="Verdana"/>
                <w:b w:val="0"/>
                <w:color w:val="FFFFFF"/>
                <w:sz w:val="20"/>
              </w:rPr>
            </w:pPr>
          </w:p>
        </w:tc>
      </w:tr>
    </w:tbl>
    <w:p w:rsidR="004226D2" w:rsidRDefault="004226D2" w:rsidP="00916362">
      <w:pPr>
        <w:jc w:val="both"/>
        <w:rPr>
          <w:rFonts w:ascii="Verdana" w:hAnsi="Verdana"/>
        </w:rPr>
      </w:pPr>
    </w:p>
    <w:p w:rsidR="00CF5D58" w:rsidRDefault="00CF5D58" w:rsidP="00916362">
      <w:pPr>
        <w:jc w:val="both"/>
        <w:rPr>
          <w:rFonts w:ascii="Verdana" w:hAnsi="Verdana"/>
          <w:sz w:val="24"/>
        </w:rPr>
      </w:pPr>
    </w:p>
    <w:p w:rsidR="00CF5D58" w:rsidRDefault="00CF5D58" w:rsidP="00916362">
      <w:pPr>
        <w:jc w:val="both"/>
      </w:pPr>
    </w:p>
    <w:p w:rsidR="00AA65CA" w:rsidRDefault="00AA65CA" w:rsidP="00916362">
      <w:pPr>
        <w:pStyle w:val="Header"/>
        <w:jc w:val="both"/>
      </w:pPr>
    </w:p>
    <w:sectPr w:rsidR="00AA65CA" w:rsidSect="00AB4D37"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0C" w:rsidRDefault="00961A0C">
      <w:r>
        <w:separator/>
      </w:r>
    </w:p>
  </w:endnote>
  <w:endnote w:type="continuationSeparator" w:id="0">
    <w:p w:rsidR="00961A0C" w:rsidRDefault="0096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939" w:rsidRDefault="00B03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0C" w:rsidRDefault="00961A0C">
      <w:r>
        <w:separator/>
      </w:r>
    </w:p>
  </w:footnote>
  <w:footnote w:type="continuationSeparator" w:id="0">
    <w:p w:rsidR="00961A0C" w:rsidRDefault="0096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A29"/>
    <w:multiLevelType w:val="hybridMultilevel"/>
    <w:tmpl w:val="98709DA6"/>
    <w:lvl w:ilvl="0" w:tplc="B738515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7B97"/>
    <w:multiLevelType w:val="hybridMultilevel"/>
    <w:tmpl w:val="40EE3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5880"/>
    <w:multiLevelType w:val="hybridMultilevel"/>
    <w:tmpl w:val="EC54DA2A"/>
    <w:lvl w:ilvl="0" w:tplc="08E80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0755"/>
    <w:multiLevelType w:val="hybridMultilevel"/>
    <w:tmpl w:val="65CA6BBA"/>
    <w:lvl w:ilvl="0" w:tplc="B738515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751F"/>
    <w:multiLevelType w:val="hybridMultilevel"/>
    <w:tmpl w:val="EA985110"/>
    <w:lvl w:ilvl="0" w:tplc="08E80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B0A40"/>
    <w:multiLevelType w:val="hybridMultilevel"/>
    <w:tmpl w:val="ECD06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800DB6"/>
    <w:multiLevelType w:val="hybridMultilevel"/>
    <w:tmpl w:val="692EA20E"/>
    <w:lvl w:ilvl="0" w:tplc="B738515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60028"/>
    <w:multiLevelType w:val="hybridMultilevel"/>
    <w:tmpl w:val="6368FBCA"/>
    <w:lvl w:ilvl="0" w:tplc="08E80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5545B"/>
    <w:multiLevelType w:val="hybridMultilevel"/>
    <w:tmpl w:val="D3982516"/>
    <w:lvl w:ilvl="0" w:tplc="B7385152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C18F5"/>
    <w:multiLevelType w:val="hybridMultilevel"/>
    <w:tmpl w:val="29D42FA6"/>
    <w:lvl w:ilvl="0" w:tplc="08E80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818B2"/>
    <w:multiLevelType w:val="hybridMultilevel"/>
    <w:tmpl w:val="57828678"/>
    <w:lvl w:ilvl="0" w:tplc="08E80A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D15235"/>
    <w:multiLevelType w:val="hybridMultilevel"/>
    <w:tmpl w:val="28B28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73CAD"/>
    <w:multiLevelType w:val="hybridMultilevel"/>
    <w:tmpl w:val="08B6967A"/>
    <w:lvl w:ilvl="0" w:tplc="08E80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B1940"/>
    <w:multiLevelType w:val="hybridMultilevel"/>
    <w:tmpl w:val="C478E59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60E00"/>
    <w:multiLevelType w:val="multilevel"/>
    <w:tmpl w:val="C478E5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F0149"/>
    <w:multiLevelType w:val="hybridMultilevel"/>
    <w:tmpl w:val="E5907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47E0C"/>
    <w:multiLevelType w:val="hybridMultilevel"/>
    <w:tmpl w:val="7970436E"/>
    <w:lvl w:ilvl="0" w:tplc="AA064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F6BE4"/>
    <w:multiLevelType w:val="multilevel"/>
    <w:tmpl w:val="08B696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02128"/>
    <w:multiLevelType w:val="hybridMultilevel"/>
    <w:tmpl w:val="66949F76"/>
    <w:lvl w:ilvl="0" w:tplc="08E80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6664D"/>
    <w:multiLevelType w:val="hybridMultilevel"/>
    <w:tmpl w:val="E456716E"/>
    <w:lvl w:ilvl="0" w:tplc="B7385152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ED5B1E"/>
    <w:multiLevelType w:val="hybridMultilevel"/>
    <w:tmpl w:val="D456964E"/>
    <w:lvl w:ilvl="0" w:tplc="77A0B8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35123"/>
    <w:multiLevelType w:val="hybridMultilevel"/>
    <w:tmpl w:val="06288452"/>
    <w:lvl w:ilvl="0" w:tplc="1416F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3"/>
  </w:num>
  <w:num w:numId="5">
    <w:abstractNumId w:val="6"/>
  </w:num>
  <w:num w:numId="6">
    <w:abstractNumId w:val="19"/>
  </w:num>
  <w:num w:numId="7">
    <w:abstractNumId w:val="0"/>
  </w:num>
  <w:num w:numId="8">
    <w:abstractNumId w:val="12"/>
  </w:num>
  <w:num w:numId="9">
    <w:abstractNumId w:val="17"/>
  </w:num>
  <w:num w:numId="10">
    <w:abstractNumId w:val="9"/>
  </w:num>
  <w:num w:numId="11">
    <w:abstractNumId w:val="18"/>
  </w:num>
  <w:num w:numId="12">
    <w:abstractNumId w:val="7"/>
  </w:num>
  <w:num w:numId="13">
    <w:abstractNumId w:val="2"/>
  </w:num>
  <w:num w:numId="14">
    <w:abstractNumId w:val="10"/>
  </w:num>
  <w:num w:numId="15">
    <w:abstractNumId w:val="4"/>
  </w:num>
  <w:num w:numId="16">
    <w:abstractNumId w:val="16"/>
  </w:num>
  <w:num w:numId="17">
    <w:abstractNumId w:val="21"/>
  </w:num>
  <w:num w:numId="18">
    <w:abstractNumId w:val="20"/>
  </w:num>
  <w:num w:numId="19">
    <w:abstractNumId w:val="5"/>
  </w:num>
  <w:num w:numId="20">
    <w:abstractNumId w:val="1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E9"/>
    <w:rsid w:val="0000173D"/>
    <w:rsid w:val="00006388"/>
    <w:rsid w:val="00020D97"/>
    <w:rsid w:val="00026B0F"/>
    <w:rsid w:val="00027876"/>
    <w:rsid w:val="000308E2"/>
    <w:rsid w:val="00042B31"/>
    <w:rsid w:val="0005013E"/>
    <w:rsid w:val="00052338"/>
    <w:rsid w:val="000575A9"/>
    <w:rsid w:val="0006572B"/>
    <w:rsid w:val="0008022B"/>
    <w:rsid w:val="00087F5A"/>
    <w:rsid w:val="000A6C07"/>
    <w:rsid w:val="000B0421"/>
    <w:rsid w:val="000B5246"/>
    <w:rsid w:val="000C1765"/>
    <w:rsid w:val="000D1713"/>
    <w:rsid w:val="000D7930"/>
    <w:rsid w:val="000D7C9E"/>
    <w:rsid w:val="000E76E1"/>
    <w:rsid w:val="000F11F3"/>
    <w:rsid w:val="000F5FEA"/>
    <w:rsid w:val="00105D15"/>
    <w:rsid w:val="00107F97"/>
    <w:rsid w:val="00142C38"/>
    <w:rsid w:val="00157404"/>
    <w:rsid w:val="00161444"/>
    <w:rsid w:val="0017328A"/>
    <w:rsid w:val="001830CF"/>
    <w:rsid w:val="001864CA"/>
    <w:rsid w:val="001A53A5"/>
    <w:rsid w:val="001B58D7"/>
    <w:rsid w:val="001C4612"/>
    <w:rsid w:val="001F0200"/>
    <w:rsid w:val="00201370"/>
    <w:rsid w:val="0020656E"/>
    <w:rsid w:val="00234726"/>
    <w:rsid w:val="00242CB9"/>
    <w:rsid w:val="0024691F"/>
    <w:rsid w:val="00247421"/>
    <w:rsid w:val="00250DAF"/>
    <w:rsid w:val="00260F13"/>
    <w:rsid w:val="002838E1"/>
    <w:rsid w:val="00285D22"/>
    <w:rsid w:val="0028624E"/>
    <w:rsid w:val="002924C4"/>
    <w:rsid w:val="0029273F"/>
    <w:rsid w:val="002B013F"/>
    <w:rsid w:val="002B5484"/>
    <w:rsid w:val="002C7463"/>
    <w:rsid w:val="002D51A8"/>
    <w:rsid w:val="002E3490"/>
    <w:rsid w:val="002F7B92"/>
    <w:rsid w:val="00302EC8"/>
    <w:rsid w:val="00310902"/>
    <w:rsid w:val="00317168"/>
    <w:rsid w:val="003172B1"/>
    <w:rsid w:val="0033156A"/>
    <w:rsid w:val="00341245"/>
    <w:rsid w:val="00342E3D"/>
    <w:rsid w:val="00345AFD"/>
    <w:rsid w:val="00346991"/>
    <w:rsid w:val="00354E56"/>
    <w:rsid w:val="00360CD0"/>
    <w:rsid w:val="00366D29"/>
    <w:rsid w:val="00377BB9"/>
    <w:rsid w:val="00381DCE"/>
    <w:rsid w:val="003935E7"/>
    <w:rsid w:val="003A6435"/>
    <w:rsid w:val="003C4D6D"/>
    <w:rsid w:val="003E1D81"/>
    <w:rsid w:val="003E43A1"/>
    <w:rsid w:val="003E498A"/>
    <w:rsid w:val="003F3BFD"/>
    <w:rsid w:val="003F4771"/>
    <w:rsid w:val="00400FA5"/>
    <w:rsid w:val="00406679"/>
    <w:rsid w:val="00406D77"/>
    <w:rsid w:val="00416FB5"/>
    <w:rsid w:val="00421C9C"/>
    <w:rsid w:val="004220C5"/>
    <w:rsid w:val="004226D2"/>
    <w:rsid w:val="0043312F"/>
    <w:rsid w:val="00436472"/>
    <w:rsid w:val="0043653E"/>
    <w:rsid w:val="00446050"/>
    <w:rsid w:val="00450E6D"/>
    <w:rsid w:val="0045116D"/>
    <w:rsid w:val="00454F29"/>
    <w:rsid w:val="00475B0C"/>
    <w:rsid w:val="00475E08"/>
    <w:rsid w:val="00484504"/>
    <w:rsid w:val="00491288"/>
    <w:rsid w:val="0049290F"/>
    <w:rsid w:val="004A0379"/>
    <w:rsid w:val="004A6F20"/>
    <w:rsid w:val="004B1B97"/>
    <w:rsid w:val="004B6F67"/>
    <w:rsid w:val="004C410F"/>
    <w:rsid w:val="004D0232"/>
    <w:rsid w:val="004D37C9"/>
    <w:rsid w:val="004D7787"/>
    <w:rsid w:val="004E3D2A"/>
    <w:rsid w:val="004E60E3"/>
    <w:rsid w:val="004F28F2"/>
    <w:rsid w:val="00504486"/>
    <w:rsid w:val="005070A8"/>
    <w:rsid w:val="00512165"/>
    <w:rsid w:val="0051375A"/>
    <w:rsid w:val="00545E69"/>
    <w:rsid w:val="00546B09"/>
    <w:rsid w:val="00563D77"/>
    <w:rsid w:val="00593947"/>
    <w:rsid w:val="00596686"/>
    <w:rsid w:val="005A0AEC"/>
    <w:rsid w:val="005A1B3D"/>
    <w:rsid w:val="005D5748"/>
    <w:rsid w:val="0060193C"/>
    <w:rsid w:val="0061094C"/>
    <w:rsid w:val="00621657"/>
    <w:rsid w:val="00626410"/>
    <w:rsid w:val="006309FA"/>
    <w:rsid w:val="0063115E"/>
    <w:rsid w:val="0063473A"/>
    <w:rsid w:val="00637C69"/>
    <w:rsid w:val="006470E1"/>
    <w:rsid w:val="006648BA"/>
    <w:rsid w:val="0066756E"/>
    <w:rsid w:val="00672D95"/>
    <w:rsid w:val="006B082B"/>
    <w:rsid w:val="006B66D8"/>
    <w:rsid w:val="006C119B"/>
    <w:rsid w:val="006E4CE6"/>
    <w:rsid w:val="0070109E"/>
    <w:rsid w:val="0072044D"/>
    <w:rsid w:val="00726821"/>
    <w:rsid w:val="007308F1"/>
    <w:rsid w:val="00733140"/>
    <w:rsid w:val="00735501"/>
    <w:rsid w:val="007406D9"/>
    <w:rsid w:val="007452C5"/>
    <w:rsid w:val="00761970"/>
    <w:rsid w:val="00770F0D"/>
    <w:rsid w:val="00772A0C"/>
    <w:rsid w:val="007749DC"/>
    <w:rsid w:val="007767A1"/>
    <w:rsid w:val="007776DB"/>
    <w:rsid w:val="0078020F"/>
    <w:rsid w:val="00781DC8"/>
    <w:rsid w:val="007A0009"/>
    <w:rsid w:val="007B5844"/>
    <w:rsid w:val="007B7E31"/>
    <w:rsid w:val="007C3FC1"/>
    <w:rsid w:val="007E08F8"/>
    <w:rsid w:val="007E265C"/>
    <w:rsid w:val="007E2F6E"/>
    <w:rsid w:val="00802217"/>
    <w:rsid w:val="00804244"/>
    <w:rsid w:val="0081275F"/>
    <w:rsid w:val="00812E04"/>
    <w:rsid w:val="00834278"/>
    <w:rsid w:val="008376CF"/>
    <w:rsid w:val="008401E6"/>
    <w:rsid w:val="008518F9"/>
    <w:rsid w:val="00856DE9"/>
    <w:rsid w:val="008612AB"/>
    <w:rsid w:val="008628E9"/>
    <w:rsid w:val="008659F1"/>
    <w:rsid w:val="00872AF8"/>
    <w:rsid w:val="00882C44"/>
    <w:rsid w:val="0088750F"/>
    <w:rsid w:val="00894E93"/>
    <w:rsid w:val="008A2BC5"/>
    <w:rsid w:val="008E02E7"/>
    <w:rsid w:val="008F0708"/>
    <w:rsid w:val="00902249"/>
    <w:rsid w:val="00916362"/>
    <w:rsid w:val="0092240A"/>
    <w:rsid w:val="00925025"/>
    <w:rsid w:val="0094187D"/>
    <w:rsid w:val="009430C4"/>
    <w:rsid w:val="00954622"/>
    <w:rsid w:val="00961A0C"/>
    <w:rsid w:val="00970187"/>
    <w:rsid w:val="00982EE3"/>
    <w:rsid w:val="00992183"/>
    <w:rsid w:val="00993EC1"/>
    <w:rsid w:val="009A1D78"/>
    <w:rsid w:val="009A2DB1"/>
    <w:rsid w:val="009B254F"/>
    <w:rsid w:val="00A2028D"/>
    <w:rsid w:val="00A32361"/>
    <w:rsid w:val="00A339DB"/>
    <w:rsid w:val="00A3591C"/>
    <w:rsid w:val="00A4389A"/>
    <w:rsid w:val="00A438F3"/>
    <w:rsid w:val="00A46642"/>
    <w:rsid w:val="00A6171D"/>
    <w:rsid w:val="00AA65CA"/>
    <w:rsid w:val="00AB1FCA"/>
    <w:rsid w:val="00AB4D37"/>
    <w:rsid w:val="00AC0E69"/>
    <w:rsid w:val="00AD1351"/>
    <w:rsid w:val="00AD4C59"/>
    <w:rsid w:val="00AF307D"/>
    <w:rsid w:val="00B03939"/>
    <w:rsid w:val="00B072FE"/>
    <w:rsid w:val="00B11BBF"/>
    <w:rsid w:val="00B25D6C"/>
    <w:rsid w:val="00B37E06"/>
    <w:rsid w:val="00B43443"/>
    <w:rsid w:val="00B803F4"/>
    <w:rsid w:val="00B86B07"/>
    <w:rsid w:val="00B871C5"/>
    <w:rsid w:val="00BB12BB"/>
    <w:rsid w:val="00BB41E3"/>
    <w:rsid w:val="00BB5006"/>
    <w:rsid w:val="00BB6BFD"/>
    <w:rsid w:val="00BE1B15"/>
    <w:rsid w:val="00C02AF7"/>
    <w:rsid w:val="00C23BCA"/>
    <w:rsid w:val="00C440F7"/>
    <w:rsid w:val="00C54B4B"/>
    <w:rsid w:val="00C7525B"/>
    <w:rsid w:val="00C779F5"/>
    <w:rsid w:val="00C83A3E"/>
    <w:rsid w:val="00CA3AAE"/>
    <w:rsid w:val="00CB3FF7"/>
    <w:rsid w:val="00CC0DC1"/>
    <w:rsid w:val="00CD29A7"/>
    <w:rsid w:val="00CD489F"/>
    <w:rsid w:val="00CD60BD"/>
    <w:rsid w:val="00CD7DC0"/>
    <w:rsid w:val="00CE4B52"/>
    <w:rsid w:val="00CF5D58"/>
    <w:rsid w:val="00D26980"/>
    <w:rsid w:val="00D60814"/>
    <w:rsid w:val="00D63314"/>
    <w:rsid w:val="00D6420A"/>
    <w:rsid w:val="00D711FC"/>
    <w:rsid w:val="00D770E9"/>
    <w:rsid w:val="00D842C2"/>
    <w:rsid w:val="00D859DC"/>
    <w:rsid w:val="00D87942"/>
    <w:rsid w:val="00DB354B"/>
    <w:rsid w:val="00DC54F7"/>
    <w:rsid w:val="00DD28DF"/>
    <w:rsid w:val="00DE36D5"/>
    <w:rsid w:val="00DF3B9C"/>
    <w:rsid w:val="00E03791"/>
    <w:rsid w:val="00E20173"/>
    <w:rsid w:val="00E27C3E"/>
    <w:rsid w:val="00E434E5"/>
    <w:rsid w:val="00E5286C"/>
    <w:rsid w:val="00E624CD"/>
    <w:rsid w:val="00EA6EE8"/>
    <w:rsid w:val="00EB4CA8"/>
    <w:rsid w:val="00EC3ACC"/>
    <w:rsid w:val="00ED1CB8"/>
    <w:rsid w:val="00EF1991"/>
    <w:rsid w:val="00EF5589"/>
    <w:rsid w:val="00F045DD"/>
    <w:rsid w:val="00F052DA"/>
    <w:rsid w:val="00F077BA"/>
    <w:rsid w:val="00F14890"/>
    <w:rsid w:val="00F258D3"/>
    <w:rsid w:val="00F259CD"/>
    <w:rsid w:val="00F375FB"/>
    <w:rsid w:val="00F43B8B"/>
    <w:rsid w:val="00F74F70"/>
    <w:rsid w:val="00F75128"/>
    <w:rsid w:val="00FA00CE"/>
    <w:rsid w:val="00FA1AD7"/>
    <w:rsid w:val="00FE42C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23323E"/>
  <w15:docId w15:val="{22716CDA-81C3-4749-A444-557A72FF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28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5">
    <w:name w:val="heading 5"/>
    <w:basedOn w:val="Normal"/>
    <w:next w:val="Normal"/>
    <w:link w:val="Heading5Char"/>
    <w:qFormat/>
    <w:rsid w:val="00CF5D58"/>
    <w:pPr>
      <w:keepNext/>
      <w:jc w:val="both"/>
      <w:outlineLvl w:val="4"/>
    </w:pPr>
    <w:rPr>
      <w:b/>
      <w:color w:val="FFFF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082B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en-US"/>
    </w:rPr>
  </w:style>
  <w:style w:type="paragraph" w:customStyle="1" w:styleId="CharCharChar">
    <w:name w:val="Char Char Char"/>
    <w:basedOn w:val="Normal"/>
    <w:rsid w:val="006B082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table" w:styleId="TableGrid">
    <w:name w:val="Table Grid"/>
    <w:basedOn w:val="TableNormal"/>
    <w:rsid w:val="00A4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04486"/>
    <w:pPr>
      <w:tabs>
        <w:tab w:val="center" w:pos="4153"/>
        <w:tab w:val="right" w:pos="8306"/>
      </w:tabs>
    </w:pPr>
  </w:style>
  <w:style w:type="character" w:customStyle="1" w:styleId="Heading5Char">
    <w:name w:val="Heading 5 Char"/>
    <w:basedOn w:val="DefaultParagraphFont"/>
    <w:link w:val="Heading5"/>
    <w:rsid w:val="00CF5D58"/>
    <w:rPr>
      <w:rFonts w:ascii="Arial" w:hAnsi="Arial"/>
      <w:b/>
      <w:color w:val="FFFFFF"/>
      <w:lang w:val="en-US"/>
    </w:rPr>
  </w:style>
  <w:style w:type="character" w:customStyle="1" w:styleId="HeaderChar">
    <w:name w:val="Header Char"/>
    <w:basedOn w:val="DefaultParagraphFont"/>
    <w:link w:val="Header"/>
    <w:rsid w:val="00CF5D58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F5D58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CF5D58"/>
    <w:rPr>
      <w:rFonts w:ascii="Arial" w:hAnsi="Arial"/>
      <w:sz w:val="28"/>
      <w:lang w:val="en-US"/>
    </w:rPr>
  </w:style>
  <w:style w:type="paragraph" w:styleId="BodyText2">
    <w:name w:val="Body Text 2"/>
    <w:basedOn w:val="Normal"/>
    <w:link w:val="BodyText2Char"/>
    <w:rsid w:val="00CF5D58"/>
    <w:rPr>
      <w:rFonts w:ascii="Times New Roman" w:hAnsi="Times New Roman"/>
      <w:b/>
      <w:color w:val="0000FF"/>
      <w:sz w:val="24"/>
    </w:rPr>
  </w:style>
  <w:style w:type="character" w:customStyle="1" w:styleId="BodyText2Char">
    <w:name w:val="Body Text 2 Char"/>
    <w:basedOn w:val="DefaultParagraphFont"/>
    <w:link w:val="BodyText2"/>
    <w:rsid w:val="00CF5D58"/>
    <w:rPr>
      <w:b/>
      <w:color w:val="0000FF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F5D58"/>
    <w:pPr>
      <w:spacing w:after="120"/>
      <w:ind w:left="283"/>
    </w:pPr>
    <w:rPr>
      <w:rFonts w:ascii="Times New Roman" w:hAnsi="Times New Roman" w:cs="Arial Unicode MS"/>
      <w:lang w:bidi="my-MM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5D58"/>
    <w:rPr>
      <w:rFonts w:cs="Arial Unicode MS"/>
      <w:lang w:bidi="my-MM"/>
    </w:rPr>
  </w:style>
  <w:style w:type="paragraph" w:customStyle="1" w:styleId="Default">
    <w:name w:val="Default"/>
    <w:rsid w:val="00377B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9F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6E962-7F59-443B-A4BF-322D1BE3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ROCU LETTER HEAD.doc</vt:lpstr>
    </vt:vector>
  </TitlesOfParts>
  <Company>Sussex Police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ROCU LETTER HEAD.doc</dc:title>
  <dc:subject/>
  <dc:creator>mitch_va</dc:creator>
  <cp:keywords/>
  <dc:description/>
  <cp:lastModifiedBy>Virdi, Kiranjit (C2051)</cp:lastModifiedBy>
  <cp:revision>4</cp:revision>
  <cp:lastPrinted>2014-07-11T08:56:00Z</cp:lastPrinted>
  <dcterms:created xsi:type="dcterms:W3CDTF">2021-05-20T11:06:00Z</dcterms:created>
  <dcterms:modified xsi:type="dcterms:W3CDTF">2021-06-07T08:57:00Z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Marking">
    <vt:lpwstr>Restricted</vt:lpwstr>
  </property>
  <property fmtid="{D5CDD505-2E9C-101B-9397-08002B2CF9AE}" pid="3" name="Descriptor">
    <vt:lpwstr>Not applicable</vt:lpwstr>
  </property>
  <property fmtid="{D5CDD505-2E9C-101B-9397-08002B2CF9AE}" pid="4" name="FOIDisclosure">
    <vt:lpwstr>1</vt:lpwstr>
  </property>
  <property fmtid="{D5CDD505-2E9C-101B-9397-08002B2CF9AE}" pid="5" name="Category01">
    <vt:lpwstr>Not Yet Defined</vt:lpwstr>
  </property>
  <property fmtid="{D5CDD505-2E9C-101B-9397-08002B2CF9AE}" pid="6" name="DocumentType">
    <vt:lpwstr>Not Yet Defined</vt:lpwstr>
  </property>
  <property fmtid="{D5CDD505-2E9C-101B-9397-08002B2CF9AE}" pid="7" name="DisposalTimePeriod">
    <vt:lpwstr>1</vt:lpwstr>
  </property>
  <property fmtid="{D5CDD505-2E9C-101B-9397-08002B2CF9AE}" pid="8" name="MigratedFromTeamLinks">
    <vt:lpwstr>0</vt:lpwstr>
  </property>
  <property fmtid="{D5CDD505-2E9C-101B-9397-08002B2CF9AE}" pid="9" name="EmailSender">
    <vt:lpwstr/>
  </property>
  <property fmtid="{D5CDD505-2E9C-101B-9397-08002B2CF9AE}" pid="10" name="DisposalReviewDate">
    <vt:lpwstr>2015-4-8T12:45:51Z</vt:lpwstr>
  </property>
  <property fmtid="{D5CDD505-2E9C-101B-9397-08002B2CF9AE}" pid="11" name="LastUpdatedBy">
    <vt:lpwstr>Mitchell Vanessa 32898</vt:lpwstr>
  </property>
  <property fmtid="{D5CDD505-2E9C-101B-9397-08002B2CF9AE}" pid="12" name="DescriptorComments">
    <vt:lpwstr/>
  </property>
  <property fmtid="{D5CDD505-2E9C-101B-9397-08002B2CF9AE}" pid="13" name="EmailRecipient">
    <vt:lpwstr/>
  </property>
</Properties>
</file>